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765-8k_silvaco.htm"/>
      <w:bookmarkStart w:id="1" w:name="ksea02897658k_silvac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r>
        <w:rPr>
          <w:rFonts w:ascii="Times New Roman;Times;Serif" w:hAnsi="Times New Roman;Times;Serif"/>
          <w:b/>
          <w:i w:val="false"/>
          <w:caps w:val="false"/>
          <w:smallCaps w:val="false"/>
          <w:sz w:val="36"/>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50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Silvaco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50" w:type="dxa"/>
        <w:jc w:val="left"/>
        <w:tblInd w:w="0" w:type="dxa"/>
        <w:tblLayout w:type="fixed"/>
        <w:tblCellMar>
          <w:top w:w="0" w:type="dxa"/>
          <w:left w:w="0" w:type="dxa"/>
          <w:bottom w:w="28" w:type="dxa"/>
          <w:right w:w="0" w:type="dxa"/>
        </w:tblCellMar>
      </w:tblPr>
      <w:tblGrid>
        <w:gridCol w:w="2885"/>
        <w:gridCol w:w="60"/>
        <w:gridCol w:w="2765"/>
        <w:gridCol w:w="60"/>
        <w:gridCol w:w="1880"/>
      </w:tblGrid>
      <w:tr>
        <w:trPr/>
        <w:tc>
          <w:tcPr>
            <w:tcW w:w="2885" w:type="dxa"/>
            <w:tcBorders>
              <w:bottom w:val="single" w:sz="12" w:space="0" w:color="000000"/>
            </w:tcBorders>
            <w:vAlign w:val="center"/>
          </w:tcPr>
          <w:p>
            <w:pPr>
              <w:pStyle w:val="TableContents"/>
              <w:bidi w:val="0"/>
              <w:spacing w:before="0" w:after="283"/>
              <w:jc w:val="center"/>
              <w:rPr>
                <w:b/>
              </w:rPr>
            </w:pPr>
            <w:bookmarkStart w:id="5" w:name="xdx_90A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2_edei--EntityFileNumber_c20260508"/>
            <w:bookmarkEnd w:id="6"/>
            <w:r>
              <w:rPr>
                <w:b/>
              </w:rPr>
              <w:t>001-42043</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27-1503712</w:t>
            </w:r>
          </w:p>
        </w:tc>
      </w:tr>
      <w:tr>
        <w:trPr/>
        <w:tc>
          <w:tcPr>
            <w:tcW w:w="2885" w:type="dxa"/>
            <w:tcBorders/>
            <w:tcMar>
              <w:bottom w:w="0" w:type="dxa"/>
            </w:tcMar>
            <w:vAlign w:val="center"/>
          </w:tcPr>
          <w:p>
            <w:pPr>
              <w:pStyle w:val="TableContents"/>
              <w:bidi w:val="0"/>
              <w:spacing w:before="0" w:after="283"/>
              <w:jc w:val="center"/>
              <w:rPr>
                <w:b/>
              </w:rPr>
            </w:pPr>
            <w:r>
              <w:rPr>
                <w:b/>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Silvaco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4701 Patrick Henry Drive, </w:t>
      </w:r>
      <w:bookmarkStart w:id="9" w:name="xdx_907_edei--EntityAddressAddressLine2_"/>
      <w:bookmarkEnd w:id="9"/>
      <w:r>
        <w:rPr>
          <w:rFonts w:ascii="Times New Roman;Times;Serif" w:hAnsi="Times New Roman;Times;Serif"/>
          <w:b/>
          <w:i w:val="false"/>
          <w:caps w:val="false"/>
          <w:smallCaps w:val="false"/>
          <w:sz w:val="20"/>
        </w:rPr>
        <w:t>Building #23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Santa Clara, </w:t>
      </w:r>
      <w:bookmarkStart w:id="11" w:name="xdx_90A_edei--EntityAddressStateOrProvin"/>
      <w:bookmarkEnd w:id="11"/>
      <w:r>
        <w:rPr>
          <w:rFonts w:ascii="Times New Roman;Times;Serif" w:hAnsi="Times New Roman;Times;Serif"/>
          <w:b/>
          <w:i w:val="false"/>
          <w:caps w:val="false"/>
          <w:smallCaps w:val="false"/>
          <w:sz w:val="20"/>
        </w:rPr>
        <w:t xml:space="preserve">CA </w:t>
      </w:r>
      <w:bookmarkStart w:id="12" w:name="xdx_907_edei--EntityAddressPostalZipCode"/>
      <w:bookmarkEnd w:id="12"/>
      <w:r>
        <w:rPr>
          <w:rFonts w:ascii="Times New Roman;Times;Serif" w:hAnsi="Times New Roman;Times;Serif"/>
          <w:b/>
          <w:i w:val="false"/>
          <w:caps w:val="false"/>
          <w:smallCaps w:val="false"/>
          <w:sz w:val="20"/>
        </w:rPr>
        <w:t>95054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including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508__20"/>
      <w:bookmarkEnd w:id="13"/>
      <w:r>
        <w:rPr>
          <w:rFonts w:ascii="Times New Roman;Times;Serif" w:hAnsi="Times New Roman;Times;Serif"/>
          <w:b/>
          <w:i w:val="false"/>
          <w:caps w:val="false"/>
          <w:smallCaps w:val="false"/>
          <w:sz w:val="20"/>
        </w:rPr>
        <w:t xml:space="preserve">408) </w:t>
      </w:r>
      <w:bookmarkStart w:id="14" w:name="xdx_900_edei--LocalPhoneNumber_c20260508"/>
      <w:bookmarkEnd w:id="14"/>
      <w:r>
        <w:rPr>
          <w:rFonts w:ascii="Times New Roman;Times;Serif" w:hAnsi="Times New Roman;Times;Serif"/>
          <w:b/>
          <w:i w:val="false"/>
          <w:caps w:val="false"/>
          <w:smallCaps w:val="false"/>
          <w:sz w:val="20"/>
        </w:rPr>
        <w:t>567-1000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360" w:right="0" w:hanging="36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E_edei--SolicitingMaterial_c202605"/>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19" w:name="xdx_903_edei--Security12bTitle_c20260508"/>
            <w:bookmarkEnd w:id="19"/>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9_edei--TradingSymbol_c20260508__2"/>
            <w:bookmarkEnd w:id="20"/>
            <w:r>
              <w:rPr>
                <w:sz w:val="20"/>
              </w:rPr>
              <w:t>SVCO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7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Items.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March 13, 2026, Silvaco Group, Inc. (the “Company”) entered into an Open Market Sale Agreement℠ (the “Sales Agreement”) with Jefferies LLC (the “Sales Agent”), pursuant to which the Company may offer and sell from time to time, at its option through the Sales Agent, shares of the Company’s common stock, $0.0001 par value per share (the “Shares”). The Shares are issued pursuant to the Company’s registration statement on Form S-3 (File No. 333-291212), which became effective on November 21, 2025, and the related prospectus supplement dated March 13, 2026 (the “ATM Prospectus Supplement”) registering the offer and sale of Shares in an aggregate offering amount of up to $15.0 million, in each case filed with the Securities and Exchange Commission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filed a prospectus supplement (the “Prospectus Supplement”) amending and supplementing the ATM Prospectus Supplement to reflect an increase in the Company’s existing at the market offering program to allow for the issuance of an additional $20.0 million in shares of the Company’s common stock, for a total of $35.0 million (inclusive of any amounts previously sold by the Company). As of May 7, 2026, the Company has sold 752,744 shares of common stock with an aggregate offering price of approximately $4,331,280 through the at the market offering program pursuant to the Sales Agreement. Therefore, we may offer and sell an aggregate of up to $30,668,720 of shares of the Company’s common stock pursuant to the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offered and sold securities under its shelf registration statement on Form S-3 (File No. 333-291212) pursuant to General Instruction I.B.6, often referred to as the “baby shelf” rule, because the Company’s public float was below $75 million. Based on the reported sale price of the Company’s common stock of $12.46 per share, as reported on the Nasdaq Global Select Market on May 6, 2026, the aggregate market value of the Company’s public float, calculated according to General Instruction I.B.6. of Form S-3, is $175,270,596 based on 32,688,557 shares of the Company’s common stock outstanding as of May 6, 2026, of which 14,066,661 shares are held by non-affiliates. As the aggregate market value of the Company’s outstanding common equity held by non-affiliates exceeded $75 million, the Company is no longer subject to the baby shelf limitation on the amount of securities it may sell. Consequently, the Company is relying on General Instruction I.B.1 of Form S-3 and may offer and sell additional securities without the prior 12-month limitations under General Instruction I.B.6.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White &amp; Case LLP relating to the validity of the additional Shares of common stock being offered pursuant to the Sales Agreement is filed as Exhibit 5.1 to this Current Report on Form 8-K.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the Shares discussed herein, nor shall there be any offer, solicitation, or sale of the Shares in any state or other jurisdiction in which such offer, solicitation or sale would be unlawful prior to registration or qualification under the securities laws of any such state or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1205" w:type="dxa"/>
            <w:tcBorders/>
            <w:shd w:fill="CCEEFF" w:val="clear"/>
            <w:tcMar>
              <w:bottom w:w="0" w:type="dxa"/>
            </w:tcMar>
            <w:vAlign w:val="center"/>
          </w:tcPr>
          <w:p>
            <w:pPr>
              <w:pStyle w:val="TableContents"/>
              <w:bidi w:val="0"/>
              <w:spacing w:before="0" w:after="283"/>
              <w:jc w:val="both"/>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5" w:type="dxa"/>
            <w:tcBorders/>
            <w:shd w:fill="CCEEFF" w:val="clear"/>
            <w:tcMar>
              <w:bottom w:w="0" w:type="dxa"/>
            </w:tcMar>
            <w:vAlign w:val="center"/>
          </w:tcPr>
          <w:p>
            <w:pPr>
              <w:pStyle w:val="TableContents"/>
              <w:bidi w:val="0"/>
              <w:spacing w:before="0" w:after="283"/>
              <w:jc w:val="both"/>
              <w:rPr/>
            </w:pPr>
            <w:hyperlink w:anchor="ea028976501ex5-1.htm">
              <w:r>
                <w:rPr>
                  <w:rStyle w:val="InternetLink"/>
                </w:rPr>
                <w:t>Opinion of White &amp; Case LLP.</w:t>
              </w:r>
            </w:hyperlink>
          </w:p>
        </w:tc>
      </w:tr>
      <w:tr>
        <w:trPr/>
        <w:tc>
          <w:tcPr>
            <w:tcW w:w="1205" w:type="dxa"/>
            <w:tcBorders/>
            <w:shd w:fill="FFFFFF" w:val="clear"/>
            <w:tcMar>
              <w:bottom w:w="0" w:type="dxa"/>
            </w:tcMar>
            <w:vAlign w:val="center"/>
          </w:tcPr>
          <w:p>
            <w:pPr>
              <w:pStyle w:val="TableContents"/>
              <w:bidi w:val="0"/>
              <w:spacing w:before="0" w:after="283"/>
              <w:jc w:val="both"/>
              <w:rPr/>
            </w:pPr>
            <w:r>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5" w:type="dxa"/>
            <w:tcBorders/>
            <w:shd w:fill="FFFFFF" w:val="clear"/>
            <w:tcMar>
              <w:bottom w:w="0" w:type="dxa"/>
            </w:tcMar>
            <w:vAlign w:val="center"/>
          </w:tcPr>
          <w:p>
            <w:pPr>
              <w:pStyle w:val="TableContents"/>
              <w:bidi w:val="0"/>
              <w:spacing w:before="0" w:after="283"/>
              <w:jc w:val="both"/>
              <w:rPr/>
            </w:pPr>
            <w:hyperlink w:anchor="ea028976501ex5-1.htm">
              <w:r>
                <w:rPr>
                  <w:rStyle w:val="InternetLink"/>
                </w:rPr>
                <w:t>Consent of White &amp; Case LLP (contained in Exhibit 5.1).</w:t>
              </w:r>
            </w:hyperlink>
          </w:p>
        </w:tc>
      </w:tr>
      <w:tr>
        <w:trPr/>
        <w:tc>
          <w:tcPr>
            <w:tcW w:w="1205"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5"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550"/>
        <w:gridCol w:w="320"/>
        <w:gridCol w:w="2315"/>
      </w:tblGrid>
      <w:tr>
        <w:trPr/>
        <w:tc>
          <w:tcPr>
            <w:tcW w:w="1550" w:type="dxa"/>
            <w:tcBorders/>
            <w:vAlign w:val="center"/>
          </w:tcPr>
          <w:p>
            <w:pPr>
              <w:pStyle w:val="TableContents"/>
              <w:bidi w:val="0"/>
              <w:spacing w:before="0" w:after="283"/>
              <w:jc w:val="left"/>
              <w:rPr>
                <w:sz w:val="20"/>
              </w:rPr>
            </w:pPr>
            <w:r>
              <w:rPr>
                <w:sz w:val="20"/>
              </w:rPr>
              <w:t>Date: May 8, 2026</w:t>
            </w:r>
          </w:p>
        </w:tc>
        <w:tc>
          <w:tcPr>
            <w:tcW w:w="2635" w:type="dxa"/>
            <w:gridSpan w:val="2"/>
            <w:tcBorders/>
            <w:vAlign w:val="center"/>
          </w:tcPr>
          <w:p>
            <w:pPr>
              <w:pStyle w:val="TableContents"/>
              <w:bidi w:val="0"/>
              <w:spacing w:before="0" w:after="283"/>
              <w:jc w:val="left"/>
              <w:rPr>
                <w:b/>
                <w:sz w:val="20"/>
              </w:rPr>
            </w:pPr>
            <w:r>
              <w:rPr>
                <w:b/>
                <w:sz w:val="20"/>
              </w:rPr>
              <w:t>SILVACO GROUP,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/s/ Christopher Zegaralli</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20"/>
              </w:rPr>
            </w:pPr>
            <w:r>
              <w:rPr>
                <w:sz w:val="20"/>
              </w:rPr>
              <w:t>Christopher Zegaralli</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4" w:name="ea028976501ex5-1.htm"/>
      <w:bookmarkStart w:id="25" w:name="ksea028976501ex51"/>
      <w:bookmarkEnd w:id="24"/>
      <w:bookmarkEnd w:id="25"/>
      <w:r>
        <w:rPr>
          <w:b/>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Silvaco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 Patrick Henry Drive, Building #23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New York counsel to Silvaco Group, Inc., a corporation organized under the laws of Delaware (the “Company”), in connection with the offer and sale from time to time, of shares of common stock, par value $0.0001 per share (the “Common Stock”), having an aggregate offering price of up to $35,000,000 (the “Shares”). The Shares are included in a registration statement on Form S-3 under the Securities Act of 1933, as amended (the “Securities Act”), filed with the Securities and Exchange Commission (the “Commission”) on November 3, 2025 (Registration No. 333-291212) (the “Registration Statement”), and are being offered pursuant to a base prospectus dated October 31, 2025 (the “Base Prospectus”), the prospectus supplement dated March 13, 2026 filed with the Commission pursuant to Rule 424(b) under the Securities Act (the “Prospectus Supplement”), and the second prospectus supplement dated May 8, 2026 filed with the Commission pursuant to Rule 424(b) under the Act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Prospectus Supplement” and, together with the Base Prospectus and Prospectus Supplement,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issuance of the Shares. 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pStyle w:val="TextBody"/>
        <w:bidi w:val="0"/>
        <w:spacing w:before="0" w:after="0"/>
        <w:ind w:left="720" w:right="0" w:hanging="36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9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460" w:type="dxa"/>
            <w:tcBorders/>
            <w:vAlign w:val="center"/>
          </w:tcPr>
          <w:p>
            <w:pPr>
              <w:pStyle w:val="TableContents"/>
              <w:bidi w:val="0"/>
              <w:spacing w:before="0" w:after="283"/>
              <w:jc w:val="both"/>
              <w:rPr/>
            </w:pPr>
            <w:r>
              <w:rPr/>
              <w:t>the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both"/>
              <w:rPr/>
            </w:pPr>
            <w:r>
              <w:rPr/>
              <w:t>a copy of the Amended and Restated Certificate of Incorporation (the “Certificate of Incorporation”), filed as Exhibit 3.1 to the Company’s Current Report on Form 8-K filed with the Commission on May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(d)</w:t>
            </w:r>
          </w:p>
        </w:tc>
        <w:tc>
          <w:tcPr>
            <w:tcW w:w="9914" w:type="dxa"/>
            <w:tcBorders/>
            <w:vAlign w:val="center"/>
          </w:tcPr>
          <w:p>
            <w:pPr>
              <w:pStyle w:val="TableContents"/>
              <w:bidi w:val="0"/>
              <w:spacing w:before="0" w:after="283"/>
              <w:jc w:val="both"/>
              <w:rPr/>
            </w:pPr>
            <w:r>
              <w:rPr/>
              <w:t>a copy of the Company’s Amended and Restated Bylaws (the “Bylaws”), filed as Exhibit 3.2 to the Company’s Current Report on Form 8-K filed with the Commission on February 19,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(e)</w:t>
            </w:r>
          </w:p>
        </w:tc>
        <w:tc>
          <w:tcPr>
            <w:tcW w:w="9897" w:type="dxa"/>
            <w:tcBorders/>
            <w:vAlign w:val="center"/>
          </w:tcPr>
          <w:p>
            <w:pPr>
              <w:pStyle w:val="TableContents"/>
              <w:bidi w:val="0"/>
              <w:spacing w:before="0" w:after="283"/>
              <w:jc w:val="both"/>
              <w:rPr/>
            </w:pPr>
            <w:r>
              <w:rPr/>
              <w:t>a copy of the resolutions of the Company’s board of directors adopted on February 12, 2026 and May 4,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(f)</w:t>
            </w:r>
          </w:p>
        </w:tc>
        <w:tc>
          <w:tcPr>
            <w:tcW w:w="9933" w:type="dxa"/>
            <w:tcBorders/>
            <w:vAlign w:val="center"/>
          </w:tcPr>
          <w:p>
            <w:pPr>
              <w:pStyle w:val="TableContents"/>
              <w:bidi w:val="0"/>
              <w:spacing w:before="0" w:after="283"/>
              <w:jc w:val="both"/>
              <w:rPr/>
            </w:pPr>
            <w:r>
              <w:rPr/>
              <w:t>a copy of the resolutions of the Pricing Committee of the Company’s board of directors adopted on March 13, 2026;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(g)</w:t>
            </w:r>
          </w:p>
        </w:tc>
        <w:tc>
          <w:tcPr>
            <w:tcW w:w="9907" w:type="dxa"/>
            <w:tcBorders/>
            <w:vAlign w:val="center"/>
          </w:tcPr>
          <w:p>
            <w:pPr>
              <w:pStyle w:val="TableContents"/>
              <w:bidi w:val="0"/>
              <w:spacing w:before="0" w:after="283"/>
              <w:jc w:val="both"/>
              <w:rPr/>
            </w:pPr>
            <w:r>
              <w:rPr/>
              <w:t>a copy of the Open Market Sale Agreement</w:t>
            </w:r>
            <w:r>
              <w:rPr>
                <w:position w:val="8"/>
                <w:sz w:val="19"/>
              </w:rPr>
              <w:t>SM</w:t>
            </w:r>
            <w:r>
              <w:rPr/>
              <w:t>, dated March 13, 2026, by and between the Company and Jefferies, LLC, as sales agent (the “Sales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In addition, in rendering the opinions expressed below, we have assumed that the Shares will be executed and countersigned by the transfer agent or registrar therefor as contemplated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 the Shares, when sold and issued against payment therefor in accordance with the Registration Statement and Prospectus,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limited to questions arising under the Delaware General Corporation Law. We do not express any opinion as to the laws of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Shares pursuant to the Registration Statement as contemplated by the Sales Agreement and is not to be relied upon for any other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Company’s Current Report on Form 8-K dated May 8, 2026 and its incorporation by reference into the Registration Statement and to the reference to our firm as counsel for the Company under the caption “Legal Matters” in the Prospectus. In giving this consent, we do not thereby admit that we are within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90"/>
      </w:tblGrid>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/s/ White &amp; Case LLP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1958</Words>
  <Characters>10331</Characters>
  <CharactersWithSpaces>12298</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