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05980.xml.htm"/>
      <w:bookmarkStart w:id="1" w:name="kswkform4_17883059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RHINES WALDEN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SILVACO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4701 PATRICK HENRY DRIVE, BUILDING #23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Silvaco Group, Inc.</w:t>
              </w:r>
            </w:hyperlink>
            <w:r>
              <w:rPr/>
              <w:t xml:space="preserve"> [ </w:t>
            </w:r>
            <w:r>
              <w:rPr>
                <w:rFonts w:ascii="Times;serif" w:hAnsi="Times;serif"/>
                <w:color w:val="0000FF"/>
                <w:sz w:val="24"/>
                <w:shd w:fill="FFFFFF" w:val="clear"/>
              </w:rPr>
              <w:t>SVCO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250,376</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539,209</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pursuant to that certain Employment Agreement, effective as of August 19, 2025 (the "Agreement"). Each RSU represents a contingent right to receive one share of the Issuer's common stock. The RSUs were granted on August 29, 2026, and will vest on March 31, 2027, provided that the vesting of the RSUs shall be accelerated in the event the Issuer terminates the Reporting Person's employment for any reason or the Reporting Person terminates his employment following a material breach of the Agreement by the Issuer which is not cured within 30 days after the Reporting Person provides written notice, in each case, prior to March 31,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Candace Jackson,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184" TargetMode="External"/><Relationship Id="rId5" Type="http://schemas.openxmlformats.org/officeDocument/2006/relationships/hyperlink" Target="http://www.sec.gov/cgi-bin/browse-edgar?action=getcompany&amp;CIK=00019432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3720</Characters>
  <CharactersWithSpaces>4340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