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9035.xml.htm"/>
      <w:bookmarkStart w:id="1" w:name="kswkform4_17866590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Jackson Candace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SILVACO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4701 PATRICK HENRY DRIVE, BUILDING #23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Silvaco Group, Inc.</w:t>
              </w:r>
            </w:hyperlink>
            <w:r>
              <w:rPr/>
              <w:t xml:space="preserve"> [ </w:t>
            </w:r>
            <w:r>
              <w:rPr>
                <w:rFonts w:ascii="Times;serif" w:hAnsi="Times;serif"/>
                <w:color w:val="0000FF"/>
                <w:sz w:val="24"/>
                <w:shd w:fill="FFFFFF" w:val="clear"/>
              </w:rPr>
              <w:t>SVCO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1,570</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7.5515</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49,779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sold by the Reporting Person to satisfy certain tax withholding obligations associated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$7.38 to $7.84, inclusive. The reporting person undertakes to provide to Silvaco Group, Inc.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Candace Jackson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235" TargetMode="External"/><Relationship Id="rId5" Type="http://schemas.openxmlformats.org/officeDocument/2006/relationships/hyperlink" Target="http://www.sec.gov/cgi-bin/browse-edgar?action=getcompany&amp;CIK=00019432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3632</Characters>
  <CharactersWithSpaces>4231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