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00"/>
        <w:spacing w:after="0" w:line="260" w:lineRule="auto"/>
        <w:rPr>
          <w:sz w:val="20"/>
          <w:szCs w:val="20"/>
          <w:color w:val="auto"/>
        </w:rPr>
      </w:pPr>
      <w:r>
        <w:rPr>
          <w:rFonts w:ascii="Arial" w:cs="Arial" w:eastAsia="Arial" w:hAnsi="Arial"/>
          <w:sz w:val="13"/>
          <w:szCs w:val="13"/>
          <w:b w:val="1"/>
          <w:bCs w:val="1"/>
          <w:color w:val="auto"/>
        </w:rPr>
        <w:t>As submitted confidentially to the Securities and Exchange Commission on January 25, 2023. This Amendment No. 2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360"/>
        <w:spacing w:after="0"/>
        <w:rPr>
          <w:sz w:val="20"/>
          <w:szCs w:val="20"/>
          <w:color w:val="auto"/>
        </w:rPr>
      </w:pPr>
      <w:r>
        <w:rPr>
          <w:rFonts w:ascii="Arial" w:cs="Arial" w:eastAsia="Arial" w:hAnsi="Arial"/>
          <w:sz w:val="13"/>
          <w:szCs w:val="13"/>
          <w:b w:val="1"/>
          <w:bCs w:val="1"/>
          <w:color w:val="auto"/>
        </w:rPr>
        <w:t>Registration No. 333-</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2</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Silvaco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69" w:lineRule="exact"/>
        <w:rPr>
          <w:sz w:val="24"/>
          <w:szCs w:val="24"/>
          <w:color w:val="auto"/>
        </w:rPr>
      </w:pPr>
    </w:p>
    <w:tbl>
      <w:tblPr>
        <w:tblLayout w:type="fixed"/>
        <w:tblInd w:w="900" w:type="dxa"/>
        <w:tblCellMar>
          <w:top w:w="0" w:type="dxa"/>
          <w:left w:w="0" w:type="dxa"/>
          <w:bottom w:w="0" w:type="dxa"/>
          <w:right w:w="0" w:type="dxa"/>
        </w:tblCellMar>
      </w:tblPr>
      <w:tr>
        <w:trPr>
          <w:trHeight w:val="186"/>
        </w:trPr>
        <w:tc>
          <w:tcPr>
            <w:tcW w:w="2720" w:type="dxa"/>
            <w:vAlign w:val="bottom"/>
          </w:tcPr>
          <w:p>
            <w:pPr>
              <w:jc w:val="center"/>
              <w:ind w:right="713"/>
              <w:spacing w:after="0"/>
              <w:rPr>
                <w:sz w:val="20"/>
                <w:szCs w:val="20"/>
                <w:color w:val="auto"/>
              </w:rPr>
            </w:pPr>
            <w:r>
              <w:rPr>
                <w:rFonts w:ascii="Arial" w:cs="Arial" w:eastAsia="Arial" w:hAnsi="Arial"/>
                <w:sz w:val="13"/>
                <w:szCs w:val="13"/>
                <w:b w:val="1"/>
                <w:bCs w:val="1"/>
                <w:color w:val="auto"/>
              </w:rPr>
              <w:t>Delaware</w:t>
            </w:r>
          </w:p>
        </w:tc>
        <w:tc>
          <w:tcPr>
            <w:tcW w:w="4140" w:type="dxa"/>
            <w:vAlign w:val="bottom"/>
          </w:tcPr>
          <w:p>
            <w:pPr>
              <w:jc w:val="center"/>
              <w:ind w:right="93"/>
              <w:spacing w:after="0"/>
              <w:rPr>
                <w:sz w:val="20"/>
                <w:szCs w:val="20"/>
                <w:color w:val="auto"/>
              </w:rPr>
            </w:pPr>
            <w:r>
              <w:rPr>
                <w:rFonts w:ascii="Arial" w:cs="Arial" w:eastAsia="Arial" w:hAnsi="Arial"/>
                <w:sz w:val="13"/>
                <w:szCs w:val="13"/>
                <w:b w:val="1"/>
                <w:bCs w:val="1"/>
                <w:color w:val="auto"/>
              </w:rPr>
              <w:t>7372</w:t>
            </w:r>
          </w:p>
        </w:tc>
        <w:tc>
          <w:tcPr>
            <w:tcW w:w="2320" w:type="dxa"/>
            <w:vAlign w:val="bottom"/>
          </w:tcPr>
          <w:p>
            <w:pPr>
              <w:jc w:val="right"/>
              <w:ind w:right="293"/>
              <w:spacing w:after="0"/>
              <w:rPr>
                <w:sz w:val="20"/>
                <w:szCs w:val="20"/>
                <w:color w:val="auto"/>
              </w:rPr>
            </w:pPr>
            <w:r>
              <w:rPr>
                <w:rFonts w:ascii="Arial" w:cs="Arial" w:eastAsia="Arial" w:hAnsi="Arial"/>
                <w:sz w:val="13"/>
                <w:szCs w:val="13"/>
                <w:b w:val="1"/>
                <w:bCs w:val="1"/>
                <w:color w:val="auto"/>
              </w:rPr>
              <w:t>27-1503712</w:t>
            </w:r>
          </w:p>
        </w:tc>
      </w:tr>
      <w:tr>
        <w:trPr>
          <w:trHeight w:val="139"/>
        </w:trPr>
        <w:tc>
          <w:tcPr>
            <w:tcW w:w="2720" w:type="dxa"/>
            <w:vAlign w:val="bottom"/>
          </w:tcPr>
          <w:p>
            <w:pPr>
              <w:jc w:val="center"/>
              <w:ind w:right="713"/>
              <w:spacing w:after="0" w:line="139" w:lineRule="exact"/>
              <w:rPr>
                <w:sz w:val="20"/>
                <w:szCs w:val="20"/>
                <w:color w:val="auto"/>
              </w:rPr>
            </w:pPr>
            <w:r>
              <w:rPr>
                <w:rFonts w:ascii="Arial" w:cs="Arial" w:eastAsia="Arial" w:hAnsi="Arial"/>
                <w:sz w:val="13"/>
                <w:szCs w:val="13"/>
                <w:b w:val="1"/>
                <w:bCs w:val="1"/>
                <w:color w:val="auto"/>
              </w:rPr>
              <w:t>(State or other jurisdiction of</w:t>
            </w:r>
          </w:p>
        </w:tc>
        <w:tc>
          <w:tcPr>
            <w:tcW w:w="4140" w:type="dxa"/>
            <w:vAlign w:val="bottom"/>
          </w:tcPr>
          <w:p>
            <w:pPr>
              <w:jc w:val="center"/>
              <w:ind w:right="93"/>
              <w:spacing w:after="0" w:line="139" w:lineRule="exact"/>
              <w:rPr>
                <w:sz w:val="20"/>
                <w:szCs w:val="20"/>
                <w:color w:val="auto"/>
              </w:rPr>
            </w:pPr>
            <w:r>
              <w:rPr>
                <w:rFonts w:ascii="Arial" w:cs="Arial" w:eastAsia="Arial" w:hAnsi="Arial"/>
                <w:sz w:val="13"/>
                <w:szCs w:val="13"/>
                <w:b w:val="1"/>
                <w:bCs w:val="1"/>
                <w:color w:val="auto"/>
              </w:rPr>
              <w:t>(Primary Standard Industrial</w:t>
            </w:r>
          </w:p>
        </w:tc>
        <w:tc>
          <w:tcPr>
            <w:tcW w:w="2320" w:type="dxa"/>
            <w:vAlign w:val="bottom"/>
          </w:tcPr>
          <w:p>
            <w:pPr>
              <w:jc w:val="center"/>
              <w:ind w:left="813"/>
              <w:spacing w:after="0" w:line="139" w:lineRule="exact"/>
              <w:rPr>
                <w:sz w:val="20"/>
                <w:szCs w:val="20"/>
                <w:color w:val="auto"/>
              </w:rPr>
            </w:pPr>
            <w:r>
              <w:rPr>
                <w:rFonts w:ascii="Arial" w:cs="Arial" w:eastAsia="Arial" w:hAnsi="Arial"/>
                <w:sz w:val="13"/>
                <w:szCs w:val="13"/>
                <w:b w:val="1"/>
                <w:bCs w:val="1"/>
                <w:color w:val="auto"/>
              </w:rPr>
              <w:t>(I.R.S. Employer</w:t>
            </w:r>
          </w:p>
        </w:tc>
      </w:tr>
      <w:tr>
        <w:trPr>
          <w:trHeight w:val="186"/>
        </w:trPr>
        <w:tc>
          <w:tcPr>
            <w:tcW w:w="2720" w:type="dxa"/>
            <w:vAlign w:val="bottom"/>
          </w:tcPr>
          <w:p>
            <w:pPr>
              <w:jc w:val="center"/>
              <w:ind w:right="713"/>
              <w:spacing w:after="0"/>
              <w:rPr>
                <w:sz w:val="20"/>
                <w:szCs w:val="20"/>
                <w:color w:val="auto"/>
              </w:rPr>
            </w:pPr>
            <w:r>
              <w:rPr>
                <w:rFonts w:ascii="Arial" w:cs="Arial" w:eastAsia="Arial" w:hAnsi="Arial"/>
                <w:sz w:val="13"/>
                <w:szCs w:val="13"/>
                <w:b w:val="1"/>
                <w:bCs w:val="1"/>
                <w:color w:val="auto"/>
              </w:rPr>
              <w:t>incorporation or organization)</w:t>
            </w:r>
          </w:p>
        </w:tc>
        <w:tc>
          <w:tcPr>
            <w:tcW w:w="4140" w:type="dxa"/>
            <w:vAlign w:val="bottom"/>
          </w:tcPr>
          <w:p>
            <w:pPr>
              <w:jc w:val="center"/>
              <w:ind w:right="93"/>
              <w:spacing w:after="0"/>
              <w:rPr>
                <w:sz w:val="20"/>
                <w:szCs w:val="20"/>
                <w:color w:val="auto"/>
              </w:rPr>
            </w:pPr>
            <w:r>
              <w:rPr>
                <w:rFonts w:ascii="Arial" w:cs="Arial" w:eastAsia="Arial" w:hAnsi="Arial"/>
                <w:sz w:val="13"/>
                <w:szCs w:val="13"/>
                <w:b w:val="1"/>
                <w:bCs w:val="1"/>
                <w:color w:val="auto"/>
              </w:rPr>
              <w:t>Classification Code Number)</w:t>
            </w:r>
          </w:p>
        </w:tc>
        <w:tc>
          <w:tcPr>
            <w:tcW w:w="2320" w:type="dxa"/>
            <w:vAlign w:val="bottom"/>
          </w:tcPr>
          <w:p>
            <w:pPr>
              <w:jc w:val="center"/>
              <w:ind w:left="813"/>
              <w:spacing w:after="0"/>
              <w:rPr>
                <w:sz w:val="20"/>
                <w:szCs w:val="20"/>
                <w:color w:val="auto"/>
              </w:rPr>
            </w:pPr>
            <w:r>
              <w:rPr>
                <w:rFonts w:ascii="Arial" w:cs="Arial" w:eastAsia="Arial" w:hAnsi="Arial"/>
                <w:sz w:val="13"/>
                <w:szCs w:val="13"/>
                <w:b w:val="1"/>
                <w:bCs w:val="1"/>
                <w:color w:val="auto"/>
              </w:rPr>
              <w:t>Identification Number)</w:t>
            </w:r>
          </w:p>
        </w:tc>
      </w:tr>
      <w:tr>
        <w:trPr>
          <w:trHeight w:val="245"/>
        </w:trPr>
        <w:tc>
          <w:tcPr>
            <w:tcW w:w="2720" w:type="dxa"/>
            <w:vAlign w:val="bottom"/>
          </w:tcPr>
          <w:p>
            <w:pPr>
              <w:spacing w:after="0"/>
              <w:rPr>
                <w:sz w:val="21"/>
                <w:szCs w:val="21"/>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color w:val="auto"/>
              </w:rPr>
              <w:t>Silvaco Group, Inc.</w:t>
            </w:r>
          </w:p>
        </w:tc>
        <w:tc>
          <w:tcPr>
            <w:tcW w:w="2320" w:type="dxa"/>
            <w:vAlign w:val="bottom"/>
          </w:tcPr>
          <w:p>
            <w:pPr>
              <w:spacing w:after="0"/>
              <w:rPr>
                <w:sz w:val="21"/>
                <w:szCs w:val="21"/>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color w:val="auto"/>
              </w:rPr>
              <w:t>4701 Patrick Henry Drive, Building #23</w:t>
            </w:r>
          </w:p>
        </w:tc>
        <w:tc>
          <w:tcPr>
            <w:tcW w:w="232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color w:val="auto"/>
              </w:rPr>
              <w:t>Santa Clara, CA 95054</w:t>
            </w:r>
          </w:p>
        </w:tc>
        <w:tc>
          <w:tcPr>
            <w:tcW w:w="232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73"/>
              <w:spacing w:after="0"/>
              <w:rPr>
                <w:sz w:val="20"/>
                <w:szCs w:val="20"/>
                <w:color w:val="auto"/>
              </w:rPr>
            </w:pPr>
            <w:r>
              <w:rPr>
                <w:rFonts w:ascii="Arial" w:cs="Arial" w:eastAsia="Arial" w:hAnsi="Arial"/>
                <w:sz w:val="13"/>
                <w:szCs w:val="13"/>
                <w:b w:val="1"/>
                <w:bCs w:val="1"/>
                <w:color w:val="auto"/>
              </w:rPr>
              <w:t>(408) 567-1000</w:t>
            </w:r>
          </w:p>
        </w:tc>
        <w:tc>
          <w:tcPr>
            <w:tcW w:w="2320" w:type="dxa"/>
            <w:vAlign w:val="bottom"/>
          </w:tcPr>
          <w:p>
            <w:pPr>
              <w:spacing w:after="0"/>
              <w:rPr>
                <w:sz w:val="14"/>
                <w:szCs w:val="14"/>
                <w:color w:val="auto"/>
              </w:rPr>
            </w:pPr>
          </w:p>
        </w:tc>
      </w:tr>
      <w:tr>
        <w:trPr>
          <w:trHeight w:val="186"/>
        </w:trPr>
        <w:tc>
          <w:tcPr>
            <w:tcW w:w="9180" w:type="dxa"/>
            <w:vAlign w:val="bottom"/>
            <w:gridSpan w:val="3"/>
          </w:tcPr>
          <w:p>
            <w:pPr>
              <w:jc w:val="center"/>
              <w:ind w:left="193"/>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tc>
      </w:tr>
      <w:tr>
        <w:trPr>
          <w:trHeight w:val="354"/>
        </w:trPr>
        <w:tc>
          <w:tcPr>
            <w:tcW w:w="2720" w:type="dxa"/>
            <w:vAlign w:val="bottom"/>
          </w:tcPr>
          <w:p>
            <w:pPr>
              <w:spacing w:after="0"/>
              <w:rPr>
                <w:sz w:val="24"/>
                <w:szCs w:val="24"/>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color w:val="auto"/>
              </w:rPr>
              <w:t>Dr. Babak A. Taheri</w:t>
            </w:r>
          </w:p>
        </w:tc>
        <w:tc>
          <w:tcPr>
            <w:tcW w:w="2320" w:type="dxa"/>
            <w:vAlign w:val="bottom"/>
          </w:tcPr>
          <w:p>
            <w:pPr>
              <w:spacing w:after="0"/>
              <w:rPr>
                <w:sz w:val="24"/>
                <w:szCs w:val="24"/>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73"/>
              <w:spacing w:after="0"/>
              <w:rPr>
                <w:sz w:val="20"/>
                <w:szCs w:val="20"/>
                <w:color w:val="auto"/>
              </w:rPr>
            </w:pPr>
            <w:r>
              <w:rPr>
                <w:rFonts w:ascii="Arial" w:cs="Arial" w:eastAsia="Arial" w:hAnsi="Arial"/>
                <w:sz w:val="13"/>
                <w:szCs w:val="13"/>
                <w:b w:val="1"/>
                <w:bCs w:val="1"/>
                <w:color w:val="auto"/>
              </w:rPr>
              <w:t>Chief Executive Officer</w:t>
            </w:r>
          </w:p>
        </w:tc>
        <w:tc>
          <w:tcPr>
            <w:tcW w:w="232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color w:val="auto"/>
              </w:rPr>
              <w:t>4701 Patrick Henry Drive, Building #23</w:t>
            </w:r>
          </w:p>
        </w:tc>
        <w:tc>
          <w:tcPr>
            <w:tcW w:w="232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color w:val="auto"/>
              </w:rPr>
              <w:t>Santa Clara, CA 95054</w:t>
            </w:r>
          </w:p>
        </w:tc>
        <w:tc>
          <w:tcPr>
            <w:tcW w:w="232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4140" w:type="dxa"/>
            <w:vAlign w:val="bottom"/>
          </w:tcPr>
          <w:p>
            <w:pPr>
              <w:jc w:val="center"/>
              <w:ind w:right="73"/>
              <w:spacing w:after="0"/>
              <w:rPr>
                <w:sz w:val="20"/>
                <w:szCs w:val="20"/>
                <w:color w:val="auto"/>
              </w:rPr>
            </w:pPr>
            <w:r>
              <w:rPr>
                <w:rFonts w:ascii="Arial" w:cs="Arial" w:eastAsia="Arial" w:hAnsi="Arial"/>
                <w:sz w:val="13"/>
                <w:szCs w:val="13"/>
                <w:b w:val="1"/>
                <w:bCs w:val="1"/>
                <w:color w:val="auto"/>
              </w:rPr>
              <w:t>(408) 567-1000</w:t>
            </w:r>
          </w:p>
        </w:tc>
        <w:tc>
          <w:tcPr>
            <w:tcW w:w="2320" w:type="dxa"/>
            <w:vAlign w:val="bottom"/>
          </w:tcPr>
          <w:p>
            <w:pPr>
              <w:spacing w:after="0"/>
              <w:rPr>
                <w:sz w:val="14"/>
                <w:szCs w:val="14"/>
                <w:color w:val="auto"/>
              </w:rPr>
            </w:pPr>
          </w:p>
        </w:tc>
      </w:tr>
      <w:tr>
        <w:trPr>
          <w:trHeight w:val="186"/>
        </w:trPr>
        <w:tc>
          <w:tcPr>
            <w:tcW w:w="9180" w:type="dxa"/>
            <w:vAlign w:val="bottom"/>
            <w:gridSpan w:val="3"/>
          </w:tcPr>
          <w:p>
            <w:pPr>
              <w:jc w:val="center"/>
              <w:ind w:left="193"/>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tc>
      </w:tr>
      <w:tr>
        <w:trPr>
          <w:trHeight w:val="392"/>
        </w:trPr>
        <w:tc>
          <w:tcPr>
            <w:tcW w:w="2720" w:type="dxa"/>
            <w:vAlign w:val="bottom"/>
          </w:tcPr>
          <w:p>
            <w:pPr>
              <w:spacing w:after="0"/>
              <w:rPr>
                <w:sz w:val="24"/>
                <w:szCs w:val="24"/>
                <w:color w:val="auto"/>
              </w:rPr>
            </w:pPr>
          </w:p>
        </w:tc>
        <w:tc>
          <w:tcPr>
            <w:tcW w:w="4140" w:type="dxa"/>
            <w:vAlign w:val="bottom"/>
          </w:tcPr>
          <w:p>
            <w:pPr>
              <w:jc w:val="center"/>
              <w:ind w:right="53"/>
              <w:spacing w:after="0"/>
              <w:rPr>
                <w:sz w:val="20"/>
                <w:szCs w:val="20"/>
                <w:color w:val="auto"/>
              </w:rPr>
            </w:pPr>
            <w:r>
              <w:rPr>
                <w:rFonts w:ascii="Arial" w:cs="Arial" w:eastAsia="Arial" w:hAnsi="Arial"/>
                <w:sz w:val="13"/>
                <w:szCs w:val="13"/>
                <w:b w:val="1"/>
                <w:bCs w:val="1"/>
                <w:i w:val="1"/>
                <w:iCs w:val="1"/>
                <w:color w:val="auto"/>
              </w:rPr>
              <w:t>Copies to:</w:t>
            </w:r>
          </w:p>
        </w:tc>
        <w:tc>
          <w:tcPr>
            <w:tcW w:w="2320" w:type="dxa"/>
            <w:vAlign w:val="bottom"/>
          </w:tcPr>
          <w:p>
            <w:pPr>
              <w:spacing w:after="0"/>
              <w:rPr>
                <w:sz w:val="24"/>
                <w:szCs w:val="24"/>
                <w:color w:val="auto"/>
              </w:rPr>
            </w:pPr>
          </w:p>
        </w:tc>
      </w:tr>
      <w:tr>
        <w:trPr>
          <w:trHeight w:val="152"/>
        </w:trPr>
        <w:tc>
          <w:tcPr>
            <w:tcW w:w="2720" w:type="dxa"/>
            <w:vAlign w:val="bottom"/>
          </w:tcPr>
          <w:p>
            <w:pPr>
              <w:jc w:val="center"/>
              <w:ind w:right="713"/>
              <w:spacing w:after="0"/>
              <w:rPr>
                <w:sz w:val="20"/>
                <w:szCs w:val="20"/>
                <w:color w:val="auto"/>
              </w:rPr>
            </w:pPr>
            <w:r>
              <w:rPr>
                <w:rFonts w:ascii="Arial" w:cs="Arial" w:eastAsia="Arial" w:hAnsi="Arial"/>
                <w:sz w:val="13"/>
                <w:szCs w:val="13"/>
                <w:b w:val="1"/>
                <w:bCs w:val="1"/>
                <w:color w:val="auto"/>
              </w:rPr>
              <w:t>Gurpreet Bal</w:t>
            </w:r>
          </w:p>
        </w:tc>
        <w:tc>
          <w:tcPr>
            <w:tcW w:w="4140" w:type="dxa"/>
            <w:vAlign w:val="bottom"/>
          </w:tcPr>
          <w:p>
            <w:pPr>
              <w:spacing w:after="0"/>
              <w:rPr>
                <w:sz w:val="13"/>
                <w:szCs w:val="13"/>
                <w:color w:val="auto"/>
              </w:rPr>
            </w:pPr>
          </w:p>
        </w:tc>
        <w:tc>
          <w:tcPr>
            <w:tcW w:w="2320" w:type="dxa"/>
            <w:vAlign w:val="bottom"/>
          </w:tcPr>
          <w:p>
            <w:pPr>
              <w:jc w:val="center"/>
              <w:ind w:left="813"/>
              <w:spacing w:after="0"/>
              <w:rPr>
                <w:sz w:val="20"/>
                <w:szCs w:val="20"/>
                <w:color w:val="auto"/>
              </w:rPr>
            </w:pPr>
            <w:r>
              <w:rPr>
                <w:rFonts w:ascii="Arial" w:cs="Arial" w:eastAsia="Arial" w:hAnsi="Arial"/>
                <w:sz w:val="13"/>
                <w:szCs w:val="13"/>
                <w:b w:val="1"/>
                <w:bCs w:val="1"/>
                <w:color w:val="auto"/>
              </w:rPr>
              <w:t>Eric Jensen</w:t>
            </w:r>
          </w:p>
        </w:tc>
      </w:tr>
      <w:tr>
        <w:trPr>
          <w:trHeight w:val="135"/>
        </w:trPr>
        <w:tc>
          <w:tcPr>
            <w:tcW w:w="2720" w:type="dxa"/>
            <w:vAlign w:val="bottom"/>
          </w:tcPr>
          <w:p>
            <w:pPr>
              <w:jc w:val="center"/>
              <w:ind w:right="693"/>
              <w:spacing w:after="0" w:line="135" w:lineRule="exact"/>
              <w:rPr>
                <w:sz w:val="20"/>
                <w:szCs w:val="20"/>
                <w:color w:val="auto"/>
              </w:rPr>
            </w:pPr>
            <w:r>
              <w:rPr>
                <w:rFonts w:ascii="Arial" w:cs="Arial" w:eastAsia="Arial" w:hAnsi="Arial"/>
                <w:sz w:val="13"/>
                <w:szCs w:val="13"/>
                <w:b w:val="1"/>
                <w:bCs w:val="1"/>
                <w:color w:val="auto"/>
              </w:rPr>
              <w:t>Drew M. Valentine</w:t>
            </w:r>
          </w:p>
        </w:tc>
        <w:tc>
          <w:tcPr>
            <w:tcW w:w="4140" w:type="dxa"/>
            <w:vAlign w:val="bottom"/>
          </w:tcPr>
          <w:p>
            <w:pPr>
              <w:spacing w:after="0"/>
              <w:rPr>
                <w:sz w:val="11"/>
                <w:szCs w:val="11"/>
                <w:color w:val="auto"/>
              </w:rPr>
            </w:pPr>
          </w:p>
        </w:tc>
        <w:tc>
          <w:tcPr>
            <w:tcW w:w="2320" w:type="dxa"/>
            <w:vAlign w:val="bottom"/>
          </w:tcPr>
          <w:p>
            <w:pPr>
              <w:jc w:val="center"/>
              <w:ind w:left="833"/>
              <w:spacing w:after="0" w:line="135" w:lineRule="exact"/>
              <w:rPr>
                <w:sz w:val="20"/>
                <w:szCs w:val="20"/>
                <w:color w:val="auto"/>
              </w:rPr>
            </w:pPr>
            <w:r>
              <w:rPr>
                <w:rFonts w:ascii="Arial" w:cs="Arial" w:eastAsia="Arial" w:hAnsi="Arial"/>
                <w:sz w:val="13"/>
                <w:szCs w:val="13"/>
                <w:b w:val="1"/>
                <w:bCs w:val="1"/>
                <w:color w:val="auto"/>
              </w:rPr>
              <w:t>Richard Segal</w:t>
            </w:r>
          </w:p>
        </w:tc>
      </w:tr>
      <w:tr>
        <w:trPr>
          <w:trHeight w:val="135"/>
        </w:trPr>
        <w:tc>
          <w:tcPr>
            <w:tcW w:w="2720" w:type="dxa"/>
            <w:vAlign w:val="bottom"/>
          </w:tcPr>
          <w:p>
            <w:pPr>
              <w:jc w:val="center"/>
              <w:ind w:right="713"/>
              <w:spacing w:after="0" w:line="135" w:lineRule="exact"/>
              <w:rPr>
                <w:sz w:val="20"/>
                <w:szCs w:val="20"/>
                <w:color w:val="auto"/>
              </w:rPr>
            </w:pPr>
            <w:r>
              <w:rPr>
                <w:rFonts w:ascii="Arial" w:cs="Arial" w:eastAsia="Arial" w:hAnsi="Arial"/>
                <w:sz w:val="13"/>
                <w:szCs w:val="13"/>
                <w:b w:val="1"/>
                <w:bCs w:val="1"/>
                <w:color w:val="auto"/>
              </w:rPr>
              <w:t>DLA Piper LLP (US)</w:t>
            </w:r>
          </w:p>
        </w:tc>
        <w:tc>
          <w:tcPr>
            <w:tcW w:w="4140" w:type="dxa"/>
            <w:vAlign w:val="bottom"/>
          </w:tcPr>
          <w:p>
            <w:pPr>
              <w:spacing w:after="0"/>
              <w:rPr>
                <w:sz w:val="11"/>
                <w:szCs w:val="11"/>
                <w:color w:val="auto"/>
              </w:rPr>
            </w:pPr>
          </w:p>
        </w:tc>
        <w:tc>
          <w:tcPr>
            <w:tcW w:w="2320" w:type="dxa"/>
            <w:vAlign w:val="bottom"/>
          </w:tcPr>
          <w:p>
            <w:pPr>
              <w:jc w:val="center"/>
              <w:ind w:left="813"/>
              <w:spacing w:after="0" w:line="135" w:lineRule="exact"/>
              <w:rPr>
                <w:sz w:val="20"/>
                <w:szCs w:val="20"/>
                <w:color w:val="auto"/>
              </w:rPr>
            </w:pPr>
            <w:r>
              <w:rPr>
                <w:rFonts w:ascii="Arial" w:cs="Arial" w:eastAsia="Arial" w:hAnsi="Arial"/>
                <w:sz w:val="13"/>
                <w:szCs w:val="13"/>
                <w:b w:val="1"/>
                <w:bCs w:val="1"/>
                <w:color w:val="auto"/>
              </w:rPr>
              <w:t>Seth Gottlieb</w:t>
            </w:r>
          </w:p>
        </w:tc>
      </w:tr>
      <w:tr>
        <w:trPr>
          <w:trHeight w:val="135"/>
        </w:trPr>
        <w:tc>
          <w:tcPr>
            <w:tcW w:w="2720" w:type="dxa"/>
            <w:vAlign w:val="bottom"/>
          </w:tcPr>
          <w:p>
            <w:pPr>
              <w:jc w:val="center"/>
              <w:ind w:right="693"/>
              <w:spacing w:after="0" w:line="135" w:lineRule="exact"/>
              <w:rPr>
                <w:sz w:val="20"/>
                <w:szCs w:val="20"/>
                <w:color w:val="auto"/>
              </w:rPr>
            </w:pPr>
            <w:r>
              <w:rPr>
                <w:rFonts w:ascii="Arial" w:cs="Arial" w:eastAsia="Arial" w:hAnsi="Arial"/>
                <w:sz w:val="13"/>
                <w:szCs w:val="13"/>
                <w:b w:val="1"/>
                <w:bCs w:val="1"/>
                <w:color w:val="auto"/>
              </w:rPr>
              <w:t>2000 University Avenue</w:t>
            </w:r>
          </w:p>
        </w:tc>
        <w:tc>
          <w:tcPr>
            <w:tcW w:w="4140" w:type="dxa"/>
            <w:vAlign w:val="bottom"/>
          </w:tcPr>
          <w:p>
            <w:pPr>
              <w:spacing w:after="0"/>
              <w:rPr>
                <w:sz w:val="11"/>
                <w:szCs w:val="11"/>
                <w:color w:val="auto"/>
              </w:rPr>
            </w:pPr>
          </w:p>
        </w:tc>
        <w:tc>
          <w:tcPr>
            <w:tcW w:w="2320" w:type="dxa"/>
            <w:vAlign w:val="bottom"/>
          </w:tcPr>
          <w:p>
            <w:pPr>
              <w:jc w:val="center"/>
              <w:ind w:left="833"/>
              <w:spacing w:after="0" w:line="135" w:lineRule="exact"/>
              <w:rPr>
                <w:sz w:val="20"/>
                <w:szCs w:val="20"/>
                <w:color w:val="auto"/>
              </w:rPr>
            </w:pPr>
            <w:r>
              <w:rPr>
                <w:rFonts w:ascii="Arial" w:cs="Arial" w:eastAsia="Arial" w:hAnsi="Arial"/>
                <w:sz w:val="13"/>
                <w:szCs w:val="13"/>
                <w:b w:val="1"/>
                <w:bCs w:val="1"/>
                <w:color w:val="auto"/>
              </w:rPr>
              <w:t>Cooley LLP</w:t>
            </w:r>
          </w:p>
        </w:tc>
      </w:tr>
      <w:tr>
        <w:trPr>
          <w:trHeight w:val="135"/>
        </w:trPr>
        <w:tc>
          <w:tcPr>
            <w:tcW w:w="2720" w:type="dxa"/>
            <w:vAlign w:val="bottom"/>
          </w:tcPr>
          <w:p>
            <w:pPr>
              <w:jc w:val="center"/>
              <w:ind w:right="693"/>
              <w:spacing w:after="0" w:line="135" w:lineRule="exact"/>
              <w:rPr>
                <w:sz w:val="20"/>
                <w:szCs w:val="20"/>
                <w:color w:val="auto"/>
              </w:rPr>
            </w:pPr>
            <w:r>
              <w:rPr>
                <w:rFonts w:ascii="Arial" w:cs="Arial" w:eastAsia="Arial" w:hAnsi="Arial"/>
                <w:sz w:val="13"/>
                <w:szCs w:val="13"/>
                <w:b w:val="1"/>
                <w:bCs w:val="1"/>
                <w:color w:val="auto"/>
              </w:rPr>
              <w:t>East Palo Alto, CA 94303</w:t>
            </w:r>
          </w:p>
        </w:tc>
        <w:tc>
          <w:tcPr>
            <w:tcW w:w="4140" w:type="dxa"/>
            <w:vAlign w:val="bottom"/>
          </w:tcPr>
          <w:p>
            <w:pPr>
              <w:spacing w:after="0"/>
              <w:rPr>
                <w:sz w:val="11"/>
                <w:szCs w:val="11"/>
                <w:color w:val="auto"/>
              </w:rPr>
            </w:pPr>
          </w:p>
        </w:tc>
        <w:tc>
          <w:tcPr>
            <w:tcW w:w="2320" w:type="dxa"/>
            <w:vAlign w:val="bottom"/>
          </w:tcPr>
          <w:p>
            <w:pPr>
              <w:jc w:val="center"/>
              <w:ind w:left="833"/>
              <w:spacing w:after="0" w:line="135" w:lineRule="exact"/>
              <w:rPr>
                <w:sz w:val="20"/>
                <w:szCs w:val="20"/>
                <w:color w:val="auto"/>
              </w:rPr>
            </w:pPr>
            <w:r>
              <w:rPr>
                <w:rFonts w:ascii="Arial" w:cs="Arial" w:eastAsia="Arial" w:hAnsi="Arial"/>
                <w:sz w:val="13"/>
                <w:szCs w:val="13"/>
                <w:b w:val="1"/>
                <w:bCs w:val="1"/>
                <w:color w:val="auto"/>
              </w:rPr>
              <w:t>3175 Hanover Street</w:t>
            </w:r>
          </w:p>
        </w:tc>
      </w:tr>
      <w:tr>
        <w:trPr>
          <w:trHeight w:val="135"/>
        </w:trPr>
        <w:tc>
          <w:tcPr>
            <w:tcW w:w="2720" w:type="dxa"/>
            <w:vAlign w:val="bottom"/>
          </w:tcPr>
          <w:p>
            <w:pPr>
              <w:jc w:val="center"/>
              <w:ind w:right="693"/>
              <w:spacing w:after="0" w:line="135" w:lineRule="exact"/>
              <w:rPr>
                <w:sz w:val="20"/>
                <w:szCs w:val="20"/>
                <w:color w:val="auto"/>
              </w:rPr>
            </w:pPr>
            <w:r>
              <w:rPr>
                <w:rFonts w:ascii="Arial" w:cs="Arial" w:eastAsia="Arial" w:hAnsi="Arial"/>
                <w:sz w:val="13"/>
                <w:szCs w:val="13"/>
                <w:b w:val="1"/>
                <w:bCs w:val="1"/>
                <w:color w:val="auto"/>
              </w:rPr>
              <w:t>(650) 833-2000</w:t>
            </w:r>
          </w:p>
        </w:tc>
        <w:tc>
          <w:tcPr>
            <w:tcW w:w="4140" w:type="dxa"/>
            <w:vAlign w:val="bottom"/>
          </w:tcPr>
          <w:p>
            <w:pPr>
              <w:spacing w:after="0"/>
              <w:rPr>
                <w:sz w:val="11"/>
                <w:szCs w:val="11"/>
                <w:color w:val="auto"/>
              </w:rPr>
            </w:pPr>
          </w:p>
        </w:tc>
        <w:tc>
          <w:tcPr>
            <w:tcW w:w="2320" w:type="dxa"/>
            <w:vAlign w:val="bottom"/>
          </w:tcPr>
          <w:p>
            <w:pPr>
              <w:jc w:val="center"/>
              <w:ind w:left="813"/>
              <w:spacing w:after="0" w:line="135" w:lineRule="exact"/>
              <w:rPr>
                <w:sz w:val="20"/>
                <w:szCs w:val="20"/>
                <w:color w:val="auto"/>
              </w:rPr>
            </w:pPr>
            <w:r>
              <w:rPr>
                <w:rFonts w:ascii="Arial" w:cs="Arial" w:eastAsia="Arial" w:hAnsi="Arial"/>
                <w:sz w:val="13"/>
                <w:szCs w:val="13"/>
                <w:b w:val="1"/>
                <w:bCs w:val="1"/>
                <w:color w:val="auto"/>
              </w:rPr>
              <w:t>Palo Alto, CA 94304</w:t>
            </w:r>
          </w:p>
        </w:tc>
      </w:tr>
      <w:tr>
        <w:trPr>
          <w:trHeight w:val="186"/>
        </w:trPr>
        <w:tc>
          <w:tcPr>
            <w:tcW w:w="2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320" w:type="dxa"/>
            <w:vAlign w:val="bottom"/>
          </w:tcPr>
          <w:p>
            <w:pPr>
              <w:jc w:val="right"/>
              <w:ind w:right="193"/>
              <w:spacing w:after="0"/>
              <w:rPr>
                <w:sz w:val="20"/>
                <w:szCs w:val="20"/>
                <w:color w:val="auto"/>
              </w:rPr>
            </w:pPr>
            <w:r>
              <w:rPr>
                <w:rFonts w:ascii="Arial" w:cs="Arial" w:eastAsia="Arial" w:hAnsi="Arial"/>
                <w:sz w:val="13"/>
                <w:szCs w:val="13"/>
                <w:b w:val="1"/>
                <w:bCs w:val="1"/>
                <w:color w:val="auto"/>
              </w:rPr>
              <w:t>(650) 843-5000</w:t>
            </w:r>
          </w:p>
        </w:tc>
      </w:tr>
    </w:tbl>
    <w:p>
      <w:pPr>
        <w:spacing w:after="0" w:line="245"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As soon as practicable after this registration statement is declared effective.</w:t>
      </w:r>
    </w:p>
    <w:p>
      <w:pPr>
        <w:spacing w:after="0" w:line="37" w:lineRule="exact"/>
        <w:rPr>
          <w:sz w:val="24"/>
          <w:szCs w:val="24"/>
          <w:color w:val="auto"/>
        </w:rPr>
      </w:pPr>
    </w:p>
    <w:p>
      <w:pPr>
        <w:ind w:left="340"/>
        <w:spacing w:after="0" w:line="150" w:lineRule="exact"/>
        <w:tabs>
          <w:tab w:leader="none" w:pos="10840" w:val="left"/>
        </w:tabs>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MS PGothic" w:cs="MS PGothic" w:eastAsia="MS PGothic" w:hAnsi="MS PGothic"/>
          <w:sz w:val="12"/>
          <w:szCs w:val="12"/>
          <w:color w:val="auto"/>
        </w:rPr>
        <w:t>☐</w:t>
      </w:r>
    </w:p>
    <w:p>
      <w:pPr>
        <w:spacing w:after="0" w:line="98" w:lineRule="exact"/>
        <w:rPr>
          <w:sz w:val="24"/>
          <w:szCs w:val="24"/>
          <w:color w:val="auto"/>
        </w:rPr>
      </w:pPr>
    </w:p>
    <w:p>
      <w:pPr>
        <w:jc w:val="both"/>
        <w:ind w:firstLine="324"/>
        <w:spacing w:after="0" w:line="17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right="20" w:firstLine="324"/>
        <w:spacing w:after="0" w:line="17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0" w:lineRule="exact"/>
        <w:rPr>
          <w:sz w:val="24"/>
          <w:szCs w:val="24"/>
          <w:color w:val="auto"/>
        </w:rPr>
      </w:pPr>
    </w:p>
    <w:p>
      <w:pPr>
        <w:jc w:val="both"/>
        <w:ind w:firstLine="324"/>
        <w:spacing w:after="0" w:line="179"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5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2020"/>
              <w:spacing w:after="0"/>
              <w:rPr>
                <w:sz w:val="20"/>
                <w:szCs w:val="20"/>
                <w:color w:val="auto"/>
              </w:rPr>
            </w:pPr>
            <w:r>
              <w:rPr>
                <w:rFonts w:ascii="Arial" w:cs="Arial" w:eastAsia="Arial" w:hAnsi="Arial"/>
                <w:sz w:val="13"/>
                <w:szCs w:val="13"/>
                <w:color w:val="auto"/>
              </w:rPr>
              <w:t>Accelerated filer</w:t>
            </w:r>
          </w:p>
        </w:tc>
        <w:tc>
          <w:tcPr>
            <w:tcW w:w="154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25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2020"/>
              <w:spacing w:after="0"/>
              <w:rPr>
                <w:sz w:val="20"/>
                <w:szCs w:val="20"/>
                <w:color w:val="auto"/>
              </w:rPr>
            </w:pPr>
            <w:r>
              <w:rPr>
                <w:rFonts w:ascii="Arial" w:cs="Arial" w:eastAsia="Arial" w:hAnsi="Arial"/>
                <w:sz w:val="13"/>
                <w:szCs w:val="13"/>
                <w:color w:val="auto"/>
              </w:rPr>
              <w:t>Smaller reporting company</w:t>
            </w:r>
          </w:p>
        </w:tc>
        <w:tc>
          <w:tcPr>
            <w:tcW w:w="154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40" w:type="dxa"/>
            <w:vAlign w:val="bottom"/>
          </w:tcPr>
          <w:p>
            <w:pPr>
              <w:ind w:left="2020"/>
              <w:spacing w:after="0"/>
              <w:rPr>
                <w:sz w:val="20"/>
                <w:szCs w:val="20"/>
                <w:color w:val="auto"/>
              </w:rPr>
            </w:pPr>
            <w:r>
              <w:rPr>
                <w:rFonts w:ascii="Arial" w:cs="Arial" w:eastAsia="Arial" w:hAnsi="Arial"/>
                <w:sz w:val="13"/>
                <w:szCs w:val="13"/>
                <w:color w:val="auto"/>
              </w:rPr>
              <w:t>Emerging growth company</w:t>
            </w:r>
          </w:p>
        </w:tc>
        <w:tc>
          <w:tcPr>
            <w:tcW w:w="154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8" w:lineRule="exact"/>
        <w:rPr>
          <w:sz w:val="24"/>
          <w:szCs w:val="24"/>
          <w:color w:val="auto"/>
        </w:rPr>
      </w:pPr>
    </w:p>
    <w:p>
      <w:pPr>
        <w:jc w:val="both"/>
        <w:spacing w:after="0" w:line="17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firstLine="324"/>
        <w:spacing w:after="0" w:line="27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the provisions of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881" w:right="339" w:bottom="1440" w:gutter="0" w:footer="0" w:header="0"/>
        </w:sectPr>
      </w:pPr>
    </w:p>
    <w:bookmarkStart w:id="1" w:name="page2"/>
    <w:bookmarkEnd w:id="1"/>
    <w:p>
      <w:pPr>
        <w:jc w:val="both"/>
        <w:spacing w:after="0" w:line="280" w:lineRule="auto"/>
        <w:rPr>
          <w:sz w:val="20"/>
          <w:szCs w:val="20"/>
          <w:color w:val="auto"/>
        </w:rPr>
      </w:pPr>
      <w:r>
        <w:rPr>
          <w:rFonts w:ascii="Arial" w:cs="Arial" w:eastAsia="Arial" w:hAnsi="Arial"/>
          <w:sz w:val="16"/>
          <w:szCs w:val="16"/>
          <w:b w:val="1"/>
          <w:bCs w:val="1"/>
          <w:color w:val="F1665F"/>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99" w:lineRule="exact"/>
        <w:rPr>
          <w:sz w:val="20"/>
          <w:szCs w:val="20"/>
          <w:color w:val="auto"/>
        </w:rPr>
      </w:pPr>
    </w:p>
    <w:tbl>
      <w:tblPr>
        <w:tblLayout w:type="fixed"/>
        <w:tblInd w:w="3560" w:type="dxa"/>
        <w:tblCellMar>
          <w:top w:w="0" w:type="dxa"/>
          <w:left w:w="0" w:type="dxa"/>
          <w:bottom w:w="0" w:type="dxa"/>
          <w:right w:w="0" w:type="dxa"/>
        </w:tblCellMar>
      </w:tblPr>
      <w:tr>
        <w:trPr>
          <w:trHeight w:val="210"/>
        </w:trPr>
        <w:tc>
          <w:tcPr>
            <w:tcW w:w="3240" w:type="dxa"/>
            <w:vAlign w:val="bottom"/>
          </w:tcPr>
          <w:p>
            <w:pPr>
              <w:spacing w:after="0"/>
              <w:rPr>
                <w:sz w:val="20"/>
                <w:szCs w:val="20"/>
                <w:color w:val="auto"/>
              </w:rPr>
            </w:pPr>
            <w:r>
              <w:rPr>
                <w:rFonts w:ascii="Arial" w:cs="Arial" w:eastAsia="Arial" w:hAnsi="Arial"/>
                <w:sz w:val="16"/>
                <w:szCs w:val="16"/>
                <w:b w:val="1"/>
                <w:bCs w:val="1"/>
                <w:color w:val="F1665F"/>
              </w:rPr>
              <w:t>SUBJECT TO COMPLETION, DATED</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F1665F"/>
              </w:rPr>
              <w:t>, 2023</w:t>
            </w:r>
          </w:p>
        </w:tc>
      </w:tr>
    </w:tbl>
    <w:p>
      <w:pPr>
        <w:spacing w:after="0"/>
        <w:rPr>
          <w:sz w:val="20"/>
          <w:szCs w:val="20"/>
          <w:color w:val="auto"/>
        </w:rPr>
      </w:pPr>
      <w:r>
        <w:rPr>
          <w:rFonts w:ascii="Arial" w:cs="Arial" w:eastAsia="Arial" w:hAnsi="Arial"/>
          <w:sz w:val="17"/>
          <w:szCs w:val="17"/>
          <w:b w:val="1"/>
          <w:bCs w:val="1"/>
          <w:color w:val="auto"/>
        </w:rPr>
        <w:t>PRELIMINARY PROSPECTUS</w:t>
      </w:r>
    </w:p>
    <w:p>
      <w:pPr>
        <w:spacing w:after="0" w:line="145" w:lineRule="exact"/>
        <w:rPr>
          <w:sz w:val="20"/>
          <w:szCs w:val="20"/>
          <w:color w:val="auto"/>
        </w:rPr>
      </w:pPr>
    </w:p>
    <w:p>
      <w:pPr>
        <w:ind w:left="5780"/>
        <w:spacing w:after="0"/>
        <w:rPr>
          <w:sz w:val="20"/>
          <w:szCs w:val="20"/>
          <w:color w:val="auto"/>
        </w:rPr>
      </w:pPr>
      <w:r>
        <w:rPr>
          <w:rFonts w:ascii="Arial" w:cs="Arial" w:eastAsia="Arial" w:hAnsi="Arial"/>
          <w:sz w:val="29"/>
          <w:szCs w:val="29"/>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133350</wp:posOffset>
            </wp:positionV>
            <wp:extent cx="1680210" cy="368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21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Silvaco Group, Inc.</w:t>
      </w:r>
    </w:p>
    <w:p>
      <w:pPr>
        <w:spacing w:after="0" w:line="19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132080</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7900" w:val="left"/>
        </w:tabs>
        <w:rPr>
          <w:sz w:val="20"/>
          <w:szCs w:val="20"/>
          <w:color w:val="auto"/>
        </w:rPr>
      </w:pPr>
      <w:r>
        <w:rPr>
          <w:rFonts w:ascii="Arial" w:cs="Arial" w:eastAsia="Arial" w:hAnsi="Arial"/>
          <w:sz w:val="17"/>
          <w:szCs w:val="17"/>
          <w:color w:val="auto"/>
        </w:rPr>
        <w:t>This is the initial public offering of shares of common stock of Silvaco Group, Inc. We are offering</w:t>
      </w:r>
      <w:r>
        <w:rPr>
          <w:sz w:val="20"/>
          <w:szCs w:val="20"/>
          <w:color w:val="auto"/>
        </w:rPr>
        <w:tab/>
      </w:r>
      <w:r>
        <w:rPr>
          <w:rFonts w:ascii="Arial" w:cs="Arial" w:eastAsia="Arial" w:hAnsi="Arial"/>
          <w:sz w:val="17"/>
          <w:szCs w:val="17"/>
          <w:color w:val="auto"/>
        </w:rPr>
        <w:t>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Prior to this offering, there has been no public market for our common stock. We currently anticipate that the initial public offering price will be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80" w:type="dxa"/>
            <w:vAlign w:val="bottom"/>
          </w:tcPr>
          <w:p>
            <w:pPr>
              <w:spacing w:after="0"/>
              <w:rPr>
                <w:sz w:val="20"/>
                <w:szCs w:val="20"/>
                <w:color w:val="auto"/>
              </w:rPr>
            </w:pPr>
            <w:r>
              <w:rPr>
                <w:rFonts w:ascii="Arial" w:cs="Arial" w:eastAsia="Arial" w:hAnsi="Arial"/>
                <w:sz w:val="17"/>
                <w:szCs w:val="17"/>
                <w:color w:val="auto"/>
              </w:rPr>
              <w:t>between $</w:t>
            </w:r>
          </w:p>
        </w:tc>
        <w:tc>
          <w:tcPr>
            <w:tcW w:w="1020" w:type="dxa"/>
            <w:vAlign w:val="bottom"/>
          </w:tcPr>
          <w:p>
            <w:pPr>
              <w:ind w:left="280"/>
              <w:spacing w:after="0"/>
              <w:rPr>
                <w:sz w:val="20"/>
                <w:szCs w:val="20"/>
                <w:color w:val="auto"/>
              </w:rPr>
            </w:pPr>
            <w:r>
              <w:rPr>
                <w:rFonts w:ascii="Arial" w:cs="Arial" w:eastAsia="Arial" w:hAnsi="Arial"/>
                <w:sz w:val="17"/>
                <w:szCs w:val="17"/>
                <w:color w:val="auto"/>
              </w:rPr>
              <w:t>and $</w:t>
            </w:r>
          </w:p>
        </w:tc>
        <w:tc>
          <w:tcPr>
            <w:tcW w:w="6540" w:type="dxa"/>
            <w:vAlign w:val="bottom"/>
          </w:tcPr>
          <w:p>
            <w:pPr>
              <w:ind w:left="320"/>
              <w:spacing w:after="0"/>
              <w:rPr>
                <w:sz w:val="20"/>
                <w:szCs w:val="20"/>
                <w:color w:val="auto"/>
              </w:rPr>
            </w:pPr>
            <w:r>
              <w:rPr>
                <w:rFonts w:ascii="Arial" w:cs="Arial" w:eastAsia="Arial" w:hAnsi="Arial"/>
                <w:sz w:val="17"/>
                <w:szCs w:val="17"/>
                <w:color w:val="auto"/>
              </w:rPr>
              <w:t>per share.</w:t>
            </w:r>
          </w:p>
        </w:tc>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7"/>
        </w:trPr>
        <w:tc>
          <w:tcPr>
            <w:tcW w:w="10560" w:type="dxa"/>
            <w:vAlign w:val="bottom"/>
            <w:gridSpan w:val="4"/>
          </w:tcPr>
          <w:p>
            <w:pPr>
              <w:spacing w:after="0"/>
              <w:rPr>
                <w:sz w:val="20"/>
                <w:szCs w:val="20"/>
                <w:color w:val="auto"/>
              </w:rPr>
            </w:pPr>
            <w:r>
              <w:rPr>
                <w:rFonts w:ascii="Arial" w:cs="Arial" w:eastAsia="Arial" w:hAnsi="Arial"/>
                <w:sz w:val="17"/>
                <w:szCs w:val="17"/>
                <w:color w:val="auto"/>
              </w:rPr>
              <w:t>Katherine S. Ngai-Pesic, our controlling stockholder and the chair of our board of directors, currently owns or is the beneficial owner of</w:t>
            </w:r>
          </w:p>
        </w:tc>
        <w:tc>
          <w:tcPr>
            <w:tcW w:w="680" w:type="dxa"/>
            <w:vAlign w:val="bottom"/>
          </w:tcPr>
          <w:p>
            <w:pPr>
              <w:jc w:val="right"/>
              <w:spacing w:after="0"/>
              <w:rPr>
                <w:sz w:val="20"/>
                <w:szCs w:val="20"/>
                <w:color w:val="auto"/>
              </w:rPr>
            </w:pPr>
            <w:r>
              <w:rPr>
                <w:rFonts w:ascii="Arial" w:cs="Arial" w:eastAsia="Arial" w:hAnsi="Arial"/>
                <w:sz w:val="17"/>
                <w:szCs w:val="17"/>
                <w:color w:val="auto"/>
              </w:rPr>
              <w:t>% of</w:t>
            </w:r>
          </w:p>
        </w:tc>
      </w:tr>
      <w:tr>
        <w:trPr>
          <w:trHeight w:val="203"/>
        </w:trPr>
        <w:tc>
          <w:tcPr>
            <w:tcW w:w="8640" w:type="dxa"/>
            <w:vAlign w:val="bottom"/>
            <w:gridSpan w:val="3"/>
          </w:tcPr>
          <w:p>
            <w:pPr>
              <w:spacing w:after="0"/>
              <w:rPr>
                <w:sz w:val="20"/>
                <w:szCs w:val="20"/>
                <w:color w:val="auto"/>
              </w:rPr>
            </w:pPr>
            <w:r>
              <w:rPr>
                <w:rFonts w:ascii="Arial" w:cs="Arial" w:eastAsia="Arial" w:hAnsi="Arial"/>
                <w:sz w:val="17"/>
                <w:szCs w:val="17"/>
                <w:color w:val="auto"/>
              </w:rPr>
              <w:t>our common stock and upon completion of this offering, will own, or be the beneficial owner of, approximately</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 of our outstanding common</w:t>
            </w:r>
          </w:p>
        </w:tc>
      </w:tr>
      <w:tr>
        <w:trPr>
          <w:trHeight w:val="218"/>
        </w:trPr>
        <w:tc>
          <w:tcPr>
            <w:tcW w:w="2100" w:type="dxa"/>
            <w:vAlign w:val="bottom"/>
            <w:gridSpan w:val="2"/>
          </w:tcPr>
          <w:p>
            <w:pPr>
              <w:spacing w:after="0"/>
              <w:rPr>
                <w:sz w:val="20"/>
                <w:szCs w:val="20"/>
                <w:color w:val="auto"/>
              </w:rPr>
            </w:pPr>
            <w:r>
              <w:rPr>
                <w:rFonts w:ascii="Arial" w:cs="Arial" w:eastAsia="Arial" w:hAnsi="Arial"/>
                <w:sz w:val="17"/>
                <w:szCs w:val="17"/>
                <w:color w:val="auto"/>
              </w:rPr>
              <w:t>stock (or approximately</w:t>
            </w:r>
          </w:p>
        </w:tc>
        <w:tc>
          <w:tcPr>
            <w:tcW w:w="9140" w:type="dxa"/>
            <w:vAlign w:val="bottom"/>
            <w:gridSpan w:val="3"/>
          </w:tcPr>
          <w:p>
            <w:pPr>
              <w:jc w:val="right"/>
              <w:spacing w:after="0"/>
              <w:rPr>
                <w:sz w:val="20"/>
                <w:szCs w:val="20"/>
                <w:color w:val="auto"/>
              </w:rPr>
            </w:pPr>
            <w:r>
              <w:rPr>
                <w:rFonts w:ascii="Arial" w:cs="Arial" w:eastAsia="Arial" w:hAnsi="Arial"/>
                <w:sz w:val="17"/>
                <w:szCs w:val="17"/>
                <w:color w:val="auto"/>
              </w:rPr>
              <w:t>% if the underwriters exercise their option in full). Upon completion of this offering, we will be a “controlled company”</w:t>
            </w:r>
          </w:p>
        </w:tc>
      </w:tr>
    </w:tbl>
    <w:p>
      <w:pPr>
        <w:jc w:val="both"/>
        <w:spacing w:after="0" w:line="264" w:lineRule="auto"/>
        <w:rPr>
          <w:sz w:val="20"/>
          <w:szCs w:val="20"/>
          <w:color w:val="auto"/>
        </w:rPr>
      </w:pPr>
      <w:r>
        <w:rPr>
          <w:rFonts w:ascii="Arial" w:cs="Arial" w:eastAsia="Arial" w:hAnsi="Arial"/>
          <w:sz w:val="17"/>
          <w:szCs w:val="17"/>
          <w:color w:val="auto"/>
        </w:rPr>
        <w:t>within the meaning of the listing rules of the Nasdaq Stock Market LLC. See “Management—Director Independence and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116840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98" w:lineRule="exact"/>
        <w:rPr>
          <w:sz w:val="20"/>
          <w:szCs w:val="20"/>
          <w:color w:val="auto"/>
        </w:rPr>
      </w:pPr>
    </w:p>
    <w:p>
      <w:pPr>
        <w:spacing w:after="0"/>
        <w:tabs>
          <w:tab w:leader="none" w:pos="5440" w:val="left"/>
        </w:tabs>
        <w:rPr>
          <w:sz w:val="20"/>
          <w:szCs w:val="20"/>
          <w:color w:val="auto"/>
        </w:rPr>
      </w:pPr>
      <w:r>
        <w:rPr>
          <w:rFonts w:ascii="Arial" w:cs="Arial" w:eastAsia="Arial" w:hAnsi="Arial"/>
          <w:sz w:val="17"/>
          <w:szCs w:val="17"/>
          <w:b w:val="1"/>
          <w:bCs w:val="1"/>
          <w:color w:val="auto"/>
        </w:rPr>
        <w:t>We intend to apply to have our common stock listed on the</w:t>
      </w:r>
      <w:r>
        <w:rPr>
          <w:sz w:val="20"/>
          <w:szCs w:val="20"/>
          <w:color w:val="auto"/>
        </w:rPr>
        <w:tab/>
      </w:r>
      <w:r>
        <w:rPr>
          <w:rFonts w:ascii="Arial" w:cs="Arial" w:eastAsia="Arial" w:hAnsi="Arial"/>
          <w:sz w:val="17"/>
          <w:szCs w:val="17"/>
          <w:b w:val="1"/>
          <w:bCs w:val="1"/>
          <w:color w:val="auto"/>
        </w:rPr>
        <w:t>, or Nasdaq, under the symbol “SIVC.”</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an “emerging growth company” and a “smaller reporting company” as defined in Section 2(a) of the Securities Act of 1933, as amended, and are subject to reduced public company disclosure requirements. See “Prospectus Summary—Implications of Being an Emerging Growth Company and a Smaller Reporting Company.”</w:t>
      </w:r>
    </w:p>
    <w:p>
      <w:pPr>
        <w:spacing w:after="0" w:line="133"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color w:val="auto"/>
        </w:rPr>
        <w:t xml:space="preserve">Investing in our common stock involves a high degree of risks. See “Risk Factors” beginning on page </w:t>
      </w:r>
      <w:r>
        <w:rPr>
          <w:rFonts w:ascii="Arial" w:cs="Arial" w:eastAsia="Arial" w:hAnsi="Arial"/>
          <w:sz w:val="17"/>
          <w:szCs w:val="17"/>
          <w:b w:val="1"/>
          <w:bCs w:val="1"/>
          <w:u w:val="single" w:color="auto"/>
          <w:color w:val="0000FF"/>
        </w:rPr>
        <w:t>15</w:t>
      </w:r>
      <w:r>
        <w:rPr>
          <w:rFonts w:ascii="Arial" w:cs="Arial" w:eastAsia="Arial" w:hAnsi="Arial"/>
          <w:sz w:val="17"/>
          <w:szCs w:val="17"/>
          <w:b w:val="1"/>
          <w:bCs w:val="1"/>
          <w:color w:val="auto"/>
        </w:rPr>
        <w:t xml:space="preserve"> to read about factors you should consider before buying shares of our common stock.</w:t>
      </w:r>
    </w:p>
    <w:p>
      <w:pPr>
        <w:spacing w:after="0" w:line="98"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Borders>
              <w:top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TOTAL</w:t>
            </w:r>
          </w:p>
        </w:tc>
      </w:tr>
      <w:tr>
        <w:trPr>
          <w:trHeight w:val="224"/>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Initial public offering price</w:t>
            </w:r>
          </w:p>
        </w:tc>
        <w:tc>
          <w:tcPr>
            <w:tcW w:w="1360" w:type="dxa"/>
            <w:vAlign w:val="bottom"/>
            <w:tcBorders>
              <w:top w:val="single" w:sz="8" w:color="auto"/>
            </w:tcBorders>
            <w:shd w:val="clear" w:color="auto" w:fill="CCEEFF"/>
          </w:tcPr>
          <w:p>
            <w:pPr>
              <w:jc w:val="right"/>
              <w:ind w:right="1178"/>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178"/>
              <w:spacing w:after="0"/>
              <w:rPr>
                <w:sz w:val="20"/>
                <w:szCs w:val="20"/>
                <w:color w:val="auto"/>
              </w:rPr>
            </w:pPr>
            <w:r>
              <w:rPr>
                <w:rFonts w:ascii="Arial" w:cs="Arial" w:eastAsia="Arial" w:hAnsi="Arial"/>
                <w:sz w:val="17"/>
                <w:szCs w:val="17"/>
                <w:color w:val="auto"/>
                <w:w w:val="84"/>
              </w:rPr>
              <w:t>$</w:t>
            </w:r>
          </w:p>
        </w:tc>
      </w:tr>
      <w:tr>
        <w:trPr>
          <w:trHeight w:val="230"/>
        </w:trPr>
        <w:tc>
          <w:tcPr>
            <w:tcW w:w="84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22"/>
                <w:szCs w:val="22"/>
                <w:color w:val="auto"/>
                <w:vertAlign w:val="superscript"/>
              </w:rPr>
              <w:t>(1)</w:t>
            </w:r>
          </w:p>
        </w:tc>
        <w:tc>
          <w:tcPr>
            <w:tcW w:w="1360" w:type="dxa"/>
            <w:vAlign w:val="bottom"/>
          </w:tcPr>
          <w:p>
            <w:pPr>
              <w:jc w:val="right"/>
              <w:ind w:right="1178"/>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9"/>
                <w:szCs w:val="19"/>
                <w:color w:val="auto"/>
              </w:rPr>
            </w:pPr>
          </w:p>
        </w:tc>
        <w:tc>
          <w:tcPr>
            <w:tcW w:w="1360" w:type="dxa"/>
            <w:vAlign w:val="bottom"/>
          </w:tcPr>
          <w:p>
            <w:pPr>
              <w:jc w:val="right"/>
              <w:ind w:right="1178"/>
              <w:spacing w:after="0"/>
              <w:rPr>
                <w:sz w:val="20"/>
                <w:szCs w:val="20"/>
                <w:color w:val="auto"/>
              </w:rPr>
            </w:pPr>
            <w:r>
              <w:rPr>
                <w:rFonts w:ascii="Arial" w:cs="Arial" w:eastAsia="Arial" w:hAnsi="Arial"/>
                <w:sz w:val="17"/>
                <w:szCs w:val="17"/>
                <w:color w:val="auto"/>
                <w:w w:val="84"/>
              </w:rPr>
              <w:t>$</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to Silvaco Group, Inc., before expenses</w:t>
            </w:r>
          </w:p>
        </w:tc>
        <w:tc>
          <w:tcPr>
            <w:tcW w:w="1360" w:type="dxa"/>
            <w:vAlign w:val="bottom"/>
            <w:shd w:val="clear" w:color="auto" w:fill="CCEEFF"/>
          </w:tcPr>
          <w:p>
            <w:pPr>
              <w:jc w:val="right"/>
              <w:ind w:right="1178"/>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8"/>
              <w:spacing w:after="0"/>
              <w:rPr>
                <w:sz w:val="20"/>
                <w:szCs w:val="20"/>
                <w:color w:val="auto"/>
              </w:rPr>
            </w:pPr>
            <w:r>
              <w:rPr>
                <w:rFonts w:ascii="Arial" w:cs="Arial" w:eastAsia="Arial" w:hAnsi="Arial"/>
                <w:sz w:val="17"/>
                <w:szCs w:val="17"/>
                <w:color w:val="auto"/>
                <w:w w:val="84"/>
              </w:rPr>
              <w:t>$</w:t>
            </w:r>
          </w:p>
        </w:tc>
      </w:tr>
      <w:tr>
        <w:trPr>
          <w:trHeight w:val="54"/>
        </w:trPr>
        <w:tc>
          <w:tcPr>
            <w:tcW w:w="8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See the section titled “Underwriting” for additional information regarding underwriting compensation.</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granted the underwriters an option to purchase up to an additional shares of common stock from us, at the public offering price, less the underwriting discounts and commissions, for 30 days after the date of this prospectus. If the underwriters exercise the option in full, the total</w:t>
      </w:r>
    </w:p>
    <w:p>
      <w:pPr>
        <w:spacing w:after="0" w:line="1" w:lineRule="exact"/>
        <w:rPr>
          <w:sz w:val="20"/>
          <w:szCs w:val="20"/>
          <w:color w:val="auto"/>
        </w:rPr>
      </w:pPr>
    </w:p>
    <w:p>
      <w:pPr>
        <w:spacing w:after="0"/>
        <w:tabs>
          <w:tab w:leader="none" w:pos="5400" w:val="left"/>
          <w:tab w:leader="none" w:pos="10240" w:val="left"/>
        </w:tabs>
        <w:rPr>
          <w:sz w:val="20"/>
          <w:szCs w:val="20"/>
          <w:color w:val="auto"/>
        </w:rPr>
      </w:pPr>
      <w:r>
        <w:rPr>
          <w:rFonts w:ascii="Arial" w:cs="Arial" w:eastAsia="Arial" w:hAnsi="Arial"/>
          <w:sz w:val="17"/>
          <w:szCs w:val="17"/>
          <w:color w:val="auto"/>
        </w:rPr>
        <w:t>underwriting discounts and commissions payable by us will be $</w:t>
      </w:r>
      <w:r>
        <w:rPr>
          <w:sz w:val="20"/>
          <w:szCs w:val="20"/>
          <w:color w:val="auto"/>
        </w:rPr>
        <w:tab/>
      </w:r>
      <w:r>
        <w:rPr>
          <w:rFonts w:ascii="Arial" w:cs="Arial" w:eastAsia="Arial" w:hAnsi="Arial"/>
          <w:sz w:val="17"/>
          <w:szCs w:val="17"/>
          <w:color w:val="auto"/>
        </w:rPr>
        <w:t>, 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611" w:right="339" w:bottom="1440" w:gutter="0" w:footer="0" w:header="0"/>
        </w:sect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Cowen</w:t>
      </w:r>
    </w:p>
    <w:p>
      <w:pPr>
        <w:spacing w:after="0" w:line="200" w:lineRule="exact"/>
        <w:rPr>
          <w:sz w:val="20"/>
          <w:szCs w:val="20"/>
          <w:color w:val="auto"/>
        </w:rPr>
      </w:pPr>
    </w:p>
    <w:p>
      <w:pPr>
        <w:sectPr>
          <w:pgSz w:w="11900" w:h="16838" w:orient="portrait"/>
          <w:cols w:equalWidth="0" w:num="2">
            <w:col w:w="9240" w:space="720"/>
            <w:col w:w="1280"/>
          </w:cols>
          <w:pgMar w:left="320" w:top="611" w:right="3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2023</w:t>
      </w:r>
    </w:p>
    <w:p>
      <w:pPr>
        <w:sectPr>
          <w:pgSz w:w="11900" w:h="16838" w:orient="portrait"/>
          <w:cols w:equalWidth="0" w:num="1">
            <w:col w:w="11240"/>
          </w:cols>
          <w:pgMar w:left="320" w:top="61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60" w:type="dxa"/>
            <w:vAlign w:val="bottom"/>
            <w:tcBorders>
              <w:bottom w:val="single" w:sz="8" w:color="auto"/>
            </w:tcBorders>
            <w:gridSpan w:val="7"/>
          </w:tcPr>
          <w:p>
            <w:pPr>
              <w:jc w:val="center"/>
              <w:spacing w:after="0"/>
              <w:rPr>
                <w:sz w:val="20"/>
                <w:szCs w:val="20"/>
                <w:color w:val="auto"/>
              </w:rPr>
            </w:pPr>
            <w:r>
              <w:rPr>
                <w:rFonts w:ascii="Arial" w:cs="Arial" w:eastAsia="Arial" w:hAnsi="Arial"/>
                <w:sz w:val="17"/>
                <w:szCs w:val="17"/>
                <w:b w:val="1"/>
                <w:bCs w:val="1"/>
                <w:color w:val="auto"/>
              </w:rPr>
              <w:t>Page</w:t>
            </w:r>
          </w:p>
        </w:tc>
      </w:tr>
      <w:tr>
        <w:trPr>
          <w:trHeight w:val="173"/>
        </w:trPr>
        <w:tc>
          <w:tcPr>
            <w:tcW w:w="10560" w:type="dxa"/>
            <w:vAlign w:val="bottom"/>
            <w:gridSpan w:val="20"/>
          </w:tcPr>
          <w:p>
            <w:pPr>
              <w:spacing w:after="0" w:line="172" w:lineRule="exact"/>
              <w:rPr>
                <w:sz w:val="20"/>
                <w:szCs w:val="20"/>
                <w:color w:val="auto"/>
              </w:rPr>
            </w:pPr>
            <w:r>
              <w:rPr>
                <w:rFonts w:ascii="Arial" w:cs="Arial" w:eastAsia="Arial" w:hAnsi="Arial"/>
                <w:sz w:val="17"/>
                <w:szCs w:val="17"/>
                <w:color w:val="0000FF"/>
              </w:rPr>
              <w:t>PROSPECTUS SUMMARY</w:t>
            </w:r>
          </w:p>
        </w:tc>
        <w:tc>
          <w:tcPr>
            <w:tcW w:w="420" w:type="dxa"/>
            <w:vAlign w:val="bottom"/>
            <w:gridSpan w:val="5"/>
          </w:tcPr>
          <w:p>
            <w:pPr>
              <w:jc w:val="center"/>
              <w:ind w:left="157"/>
              <w:spacing w:after="0" w:line="172" w:lineRule="exact"/>
              <w:rPr>
                <w:sz w:val="20"/>
                <w:szCs w:val="20"/>
                <w:color w:val="auto"/>
              </w:rPr>
            </w:pPr>
            <w:r>
              <w:rPr>
                <w:rFonts w:ascii="Arial" w:cs="Arial" w:eastAsia="Arial" w:hAnsi="Arial"/>
                <w:sz w:val="17"/>
                <w:szCs w:val="17"/>
                <w:color w:val="0000FF"/>
              </w:rPr>
              <w:t>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40" w:type="dxa"/>
            <w:vAlign w:val="bottom"/>
            <w:gridSpan w:val="7"/>
          </w:tcPr>
          <w:p>
            <w:pPr>
              <w:spacing w:after="0"/>
              <w:rPr>
                <w:sz w:val="20"/>
                <w:szCs w:val="20"/>
                <w:color w:val="auto"/>
              </w:rPr>
            </w:pPr>
            <w:r>
              <w:rPr>
                <w:rFonts w:ascii="Arial" w:cs="Arial" w:eastAsia="Arial" w:hAnsi="Arial"/>
                <w:sz w:val="17"/>
                <w:szCs w:val="17"/>
                <w:color w:val="0000FF"/>
              </w:rPr>
              <w:t>RISK FACTORS</w:t>
            </w:r>
          </w:p>
        </w:tc>
        <w:tc>
          <w:tcPr>
            <w:tcW w:w="8520" w:type="dxa"/>
            <w:vAlign w:val="bottom"/>
            <w:gridSpan w:val="13"/>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15</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rPr>
                <w:sz w:val="20"/>
                <w:szCs w:val="20"/>
                <w:color w:val="auto"/>
              </w:rPr>
            </w:pPr>
            <w:r>
              <w:rPr>
                <w:rFonts w:ascii="Arial" w:cs="Arial" w:eastAsia="Arial" w:hAnsi="Arial"/>
                <w:sz w:val="17"/>
                <w:szCs w:val="17"/>
                <w:color w:val="0000FF"/>
              </w:rPr>
              <w:t>SPECIAL NOTE REGARDING FORWARD-LOOKING STATEMENTS</w:t>
            </w: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45</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460" w:type="dxa"/>
            <w:vAlign w:val="bottom"/>
            <w:gridSpan w:val="9"/>
          </w:tcPr>
          <w:p>
            <w:pPr>
              <w:spacing w:after="0"/>
              <w:rPr>
                <w:sz w:val="20"/>
                <w:szCs w:val="20"/>
                <w:color w:val="auto"/>
              </w:rPr>
            </w:pPr>
            <w:r>
              <w:rPr>
                <w:rFonts w:ascii="Arial" w:cs="Arial" w:eastAsia="Arial" w:hAnsi="Arial"/>
                <w:sz w:val="17"/>
                <w:szCs w:val="17"/>
                <w:color w:val="0000FF"/>
                <w:w w:val="96"/>
              </w:rPr>
              <w:t>INDUSTRY AND MARKET DATA</w:t>
            </w:r>
          </w:p>
        </w:tc>
        <w:tc>
          <w:tcPr>
            <w:tcW w:w="2660" w:type="dxa"/>
            <w:vAlign w:val="bottom"/>
            <w:gridSpan w:val="6"/>
          </w:tcPr>
          <w:p>
            <w:pPr>
              <w:spacing w:after="0"/>
              <w:rPr>
                <w:sz w:val="17"/>
                <w:szCs w:val="17"/>
                <w:color w:val="auto"/>
              </w:rPr>
            </w:pPr>
          </w:p>
        </w:tc>
        <w:tc>
          <w:tcPr>
            <w:tcW w:w="5440" w:type="dxa"/>
            <w:vAlign w:val="bottom"/>
            <w:gridSpan w:val="5"/>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47</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460" w:type="dxa"/>
            <w:vAlign w:val="bottom"/>
            <w:gridSpan w:val="9"/>
          </w:tcPr>
          <w:p>
            <w:pPr>
              <w:spacing w:after="0"/>
              <w:rPr>
                <w:sz w:val="20"/>
                <w:szCs w:val="20"/>
                <w:color w:val="auto"/>
              </w:rPr>
            </w:pPr>
            <w:r>
              <w:rPr>
                <w:rFonts w:ascii="Arial" w:cs="Arial" w:eastAsia="Arial" w:hAnsi="Arial"/>
                <w:sz w:val="17"/>
                <w:szCs w:val="17"/>
                <w:color w:val="0000FF"/>
              </w:rPr>
              <w:t>USE OF PROCEEDS</w:t>
            </w:r>
          </w:p>
        </w:tc>
        <w:tc>
          <w:tcPr>
            <w:tcW w:w="8100" w:type="dxa"/>
            <w:vAlign w:val="bottom"/>
            <w:gridSpan w:val="11"/>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48</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460" w:type="dxa"/>
            <w:vAlign w:val="bottom"/>
            <w:gridSpan w:val="5"/>
          </w:tcPr>
          <w:p>
            <w:pPr>
              <w:spacing w:after="0"/>
              <w:rPr>
                <w:sz w:val="20"/>
                <w:szCs w:val="20"/>
                <w:color w:val="auto"/>
              </w:rPr>
            </w:pPr>
            <w:r>
              <w:rPr>
                <w:rFonts w:ascii="Arial" w:cs="Arial" w:eastAsia="Arial" w:hAnsi="Arial"/>
                <w:sz w:val="17"/>
                <w:szCs w:val="17"/>
                <w:color w:val="0000FF"/>
                <w:w w:val="97"/>
              </w:rPr>
              <w:t>DIVIDEND POLICY</w:t>
            </w:r>
          </w:p>
        </w:tc>
        <w:tc>
          <w:tcPr>
            <w:tcW w:w="140" w:type="dxa"/>
            <w:vAlign w:val="bottom"/>
          </w:tcPr>
          <w:p>
            <w:pPr>
              <w:spacing w:after="0"/>
              <w:rPr>
                <w:sz w:val="17"/>
                <w:szCs w:val="17"/>
                <w:color w:val="auto"/>
              </w:rPr>
            </w:pPr>
          </w:p>
        </w:tc>
        <w:tc>
          <w:tcPr>
            <w:tcW w:w="8960" w:type="dxa"/>
            <w:vAlign w:val="bottom"/>
            <w:gridSpan w:val="14"/>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49</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20"/>
                <w:szCs w:val="20"/>
                <w:color w:val="auto"/>
              </w:rPr>
            </w:pPr>
            <w:r>
              <w:rPr>
                <w:rFonts w:ascii="Arial" w:cs="Arial" w:eastAsia="Arial" w:hAnsi="Arial"/>
                <w:sz w:val="17"/>
                <w:szCs w:val="17"/>
                <w:color w:val="0000FF"/>
                <w:w w:val="92"/>
              </w:rPr>
              <w:t>CAPITALIZATION</w:t>
            </w:r>
          </w:p>
        </w:tc>
        <w:tc>
          <w:tcPr>
            <w:tcW w:w="140" w:type="dxa"/>
            <w:vAlign w:val="bottom"/>
            <w:gridSpan w:val="2"/>
          </w:tcPr>
          <w:p>
            <w:pPr>
              <w:spacing w:after="0"/>
              <w:rPr>
                <w:sz w:val="17"/>
                <w:szCs w:val="17"/>
                <w:color w:val="auto"/>
              </w:rPr>
            </w:pPr>
          </w:p>
        </w:tc>
        <w:tc>
          <w:tcPr>
            <w:tcW w:w="9100" w:type="dxa"/>
            <w:vAlign w:val="bottom"/>
            <w:gridSpan w:val="15"/>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50</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80" w:type="dxa"/>
            <w:vAlign w:val="bottom"/>
          </w:tcPr>
          <w:p>
            <w:pPr>
              <w:spacing w:after="0"/>
              <w:rPr>
                <w:sz w:val="20"/>
                <w:szCs w:val="20"/>
                <w:color w:val="auto"/>
              </w:rPr>
            </w:pPr>
            <w:r>
              <w:rPr>
                <w:rFonts w:ascii="Arial" w:cs="Arial" w:eastAsia="Arial" w:hAnsi="Arial"/>
                <w:sz w:val="17"/>
                <w:szCs w:val="17"/>
                <w:color w:val="0000FF"/>
                <w:w w:val="93"/>
              </w:rPr>
              <w:t>DILUTION</w:t>
            </w:r>
          </w:p>
        </w:tc>
        <w:tc>
          <w:tcPr>
            <w:tcW w:w="540" w:type="dxa"/>
            <w:vAlign w:val="bottom"/>
            <w:gridSpan w:val="2"/>
          </w:tcPr>
          <w:p>
            <w:pPr>
              <w:spacing w:after="0"/>
              <w:rPr>
                <w:sz w:val="17"/>
                <w:szCs w:val="17"/>
                <w:color w:val="auto"/>
              </w:rPr>
            </w:pPr>
          </w:p>
        </w:tc>
        <w:tc>
          <w:tcPr>
            <w:tcW w:w="9240" w:type="dxa"/>
            <w:vAlign w:val="bottom"/>
            <w:gridSpan w:val="17"/>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52</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54</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440" w:type="dxa"/>
            <w:vAlign w:val="bottom"/>
            <w:gridSpan w:val="18"/>
          </w:tcPr>
          <w:p>
            <w:pPr>
              <w:spacing w:after="0"/>
              <w:rPr>
                <w:sz w:val="20"/>
                <w:szCs w:val="20"/>
                <w:color w:val="auto"/>
              </w:rPr>
            </w:pPr>
            <w:r>
              <w:rPr>
                <w:rFonts w:ascii="Arial" w:cs="Arial" w:eastAsia="Arial" w:hAnsi="Arial"/>
                <w:sz w:val="17"/>
                <w:szCs w:val="17"/>
                <w:color w:val="0000FF"/>
              </w:rPr>
              <w:t>BUSINESS</w:t>
            </w:r>
          </w:p>
        </w:tc>
        <w:tc>
          <w:tcPr>
            <w:tcW w:w="2120" w:type="dxa"/>
            <w:vAlign w:val="bottom"/>
            <w:gridSpan w:val="2"/>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72</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rPr>
                <w:sz w:val="20"/>
                <w:szCs w:val="20"/>
                <w:color w:val="auto"/>
              </w:rPr>
            </w:pPr>
            <w:r>
              <w:rPr>
                <w:rFonts w:ascii="Arial" w:cs="Arial" w:eastAsia="Arial" w:hAnsi="Arial"/>
                <w:sz w:val="17"/>
                <w:szCs w:val="17"/>
                <w:color w:val="0000FF"/>
                <w:w w:val="95"/>
              </w:rPr>
              <w:t>MANAGEMENT</w:t>
            </w:r>
          </w:p>
        </w:tc>
        <w:tc>
          <w:tcPr>
            <w:tcW w:w="9360" w:type="dxa"/>
            <w:vAlign w:val="bottom"/>
            <w:gridSpan w:val="18"/>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87</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340" w:type="dxa"/>
            <w:vAlign w:val="bottom"/>
            <w:gridSpan w:val="8"/>
          </w:tcPr>
          <w:p>
            <w:pPr>
              <w:spacing w:after="0"/>
              <w:rPr>
                <w:sz w:val="20"/>
                <w:szCs w:val="20"/>
                <w:color w:val="auto"/>
              </w:rPr>
            </w:pPr>
            <w:r>
              <w:rPr>
                <w:rFonts w:ascii="Arial" w:cs="Arial" w:eastAsia="Arial" w:hAnsi="Arial"/>
                <w:sz w:val="17"/>
                <w:szCs w:val="17"/>
                <w:color w:val="0000FF"/>
                <w:w w:val="97"/>
              </w:rPr>
              <w:t>EXECUTIVE COMPENSATION</w:t>
            </w:r>
          </w:p>
        </w:tc>
        <w:tc>
          <w:tcPr>
            <w:tcW w:w="8220" w:type="dxa"/>
            <w:vAlign w:val="bottom"/>
            <w:gridSpan w:val="12"/>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4"/>
              </w:rPr>
              <w:t>96</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rPr>
                <w:sz w:val="20"/>
                <w:szCs w:val="20"/>
                <w:color w:val="auto"/>
              </w:rPr>
            </w:pPr>
            <w:r>
              <w:rPr>
                <w:rFonts w:ascii="Arial" w:cs="Arial" w:eastAsia="Arial" w:hAnsi="Arial"/>
                <w:sz w:val="17"/>
                <w:szCs w:val="17"/>
                <w:color w:val="0000FF"/>
              </w:rPr>
              <w:t>CERTAIN RELATIONSHIPS AND RELATED PARTY TRANSACTIONS</w:t>
            </w:r>
          </w:p>
        </w:tc>
        <w:tc>
          <w:tcPr>
            <w:tcW w:w="660" w:type="dxa"/>
            <w:vAlign w:val="bottom"/>
            <w:gridSpan w:val="7"/>
          </w:tcPr>
          <w:p>
            <w:pPr>
              <w:jc w:val="center"/>
              <w:spacing w:after="0"/>
              <w:rPr>
                <w:sz w:val="20"/>
                <w:szCs w:val="20"/>
                <w:color w:val="auto"/>
              </w:rPr>
            </w:pPr>
            <w:r>
              <w:rPr>
                <w:rFonts w:ascii="Arial" w:cs="Arial" w:eastAsia="Arial" w:hAnsi="Arial"/>
                <w:sz w:val="17"/>
                <w:szCs w:val="17"/>
                <w:color w:val="0000FF"/>
                <w:w w:val="91"/>
              </w:rPr>
              <w:t>107</w:t>
            </w:r>
          </w:p>
        </w:tc>
      </w:tr>
      <w:tr>
        <w:trPr>
          <w:trHeight w:val="20"/>
        </w:trPr>
        <w:tc>
          <w:tcPr>
            <w:tcW w:w="7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196"/>
        </w:trPr>
        <w:tc>
          <w:tcPr>
            <w:tcW w:w="5220" w:type="dxa"/>
            <w:vAlign w:val="bottom"/>
            <w:gridSpan w:val="16"/>
          </w:tcPr>
          <w:p>
            <w:pPr>
              <w:spacing w:after="0"/>
              <w:rPr>
                <w:sz w:val="20"/>
                <w:szCs w:val="20"/>
                <w:color w:val="auto"/>
              </w:rPr>
            </w:pPr>
            <w:r>
              <w:rPr>
                <w:rFonts w:ascii="Arial" w:cs="Arial" w:eastAsia="Arial" w:hAnsi="Arial"/>
                <w:sz w:val="17"/>
                <w:szCs w:val="17"/>
                <w:color w:val="0000FF"/>
              </w:rPr>
              <w:t>DESCRIPTION OF CAPITAL STOCK</w:t>
            </w:r>
          </w:p>
        </w:tc>
        <w:tc>
          <w:tcPr>
            <w:tcW w:w="5340" w:type="dxa"/>
            <w:vAlign w:val="bottom"/>
            <w:gridSpan w:val="4"/>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1"/>
              </w:rPr>
              <w:t>112</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rPr>
                <w:sz w:val="20"/>
                <w:szCs w:val="20"/>
                <w:color w:val="auto"/>
              </w:rPr>
            </w:pPr>
            <w:r>
              <w:rPr>
                <w:rFonts w:ascii="Arial" w:cs="Arial" w:eastAsia="Arial" w:hAnsi="Arial"/>
                <w:sz w:val="17"/>
                <w:szCs w:val="17"/>
                <w:color w:val="0000FF"/>
              </w:rPr>
              <w:t>SHARES ELIGIBLE FOR FUTURE SALE</w:t>
            </w: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1"/>
              </w:rPr>
              <w:t>116</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600" w:type="dxa"/>
            <w:vAlign w:val="bottom"/>
            <w:gridSpan w:val="19"/>
          </w:tcPr>
          <w:p>
            <w:pPr>
              <w:spacing w:after="0"/>
              <w:rPr>
                <w:sz w:val="20"/>
                <w:szCs w:val="20"/>
                <w:color w:val="auto"/>
              </w:rPr>
            </w:pPr>
            <w:r>
              <w:rPr>
                <w:rFonts w:ascii="Arial" w:cs="Arial" w:eastAsia="Arial" w:hAnsi="Arial"/>
                <w:sz w:val="17"/>
                <w:szCs w:val="17"/>
                <w:color w:val="0000FF"/>
                <w:w w:val="97"/>
              </w:rPr>
              <w:t>MATERIAL U.S. FEDERAL INCOME TAX CONSEQUENCES TO NON-U.S. HOLDERS OF OUR COMMON STOCK</w:t>
            </w:r>
          </w:p>
        </w:tc>
        <w:tc>
          <w:tcPr>
            <w:tcW w:w="1960" w:type="dxa"/>
            <w:vAlign w:val="bottom"/>
          </w:tcPr>
          <w:p>
            <w:pPr>
              <w:spacing w:after="0"/>
              <w:rPr>
                <w:sz w:val="17"/>
                <w:szCs w:val="17"/>
                <w:color w:val="auto"/>
              </w:rPr>
            </w:pPr>
          </w:p>
        </w:tc>
        <w:tc>
          <w:tcPr>
            <w:tcW w:w="460" w:type="dxa"/>
            <w:vAlign w:val="bottom"/>
            <w:gridSpan w:val="6"/>
          </w:tcPr>
          <w:p>
            <w:pPr>
              <w:jc w:val="center"/>
              <w:ind w:left="117"/>
              <w:spacing w:after="0"/>
              <w:rPr>
                <w:sz w:val="20"/>
                <w:szCs w:val="20"/>
                <w:color w:val="auto"/>
              </w:rPr>
            </w:pPr>
            <w:r>
              <w:rPr>
                <w:rFonts w:ascii="Arial" w:cs="Arial" w:eastAsia="Arial" w:hAnsi="Arial"/>
                <w:sz w:val="17"/>
                <w:szCs w:val="17"/>
                <w:color w:val="0000FF"/>
                <w:w w:val="91"/>
              </w:rPr>
              <w:t>118</w:t>
            </w:r>
          </w:p>
        </w:tc>
        <w:tc>
          <w:tcPr>
            <w:tcW w:w="20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sz w:val="20"/>
                <w:szCs w:val="20"/>
                <w:color w:val="auto"/>
              </w:rPr>
            </w:pPr>
            <w:r>
              <w:rPr>
                <w:rFonts w:ascii="Arial" w:cs="Arial" w:eastAsia="Arial" w:hAnsi="Arial"/>
                <w:sz w:val="17"/>
                <w:szCs w:val="17"/>
                <w:color w:val="0000FF"/>
                <w:w w:val="95"/>
              </w:rPr>
              <w:t>UNDERWRITING</w:t>
            </w:r>
          </w:p>
        </w:tc>
        <w:tc>
          <w:tcPr>
            <w:tcW w:w="7280" w:type="dxa"/>
            <w:vAlign w:val="bottom"/>
            <w:gridSpan w:val="16"/>
          </w:tcPr>
          <w:p>
            <w:pPr>
              <w:spacing w:after="0"/>
              <w:rPr>
                <w:sz w:val="17"/>
                <w:szCs w:val="17"/>
                <w:color w:val="auto"/>
              </w:rPr>
            </w:pPr>
          </w:p>
        </w:tc>
        <w:tc>
          <w:tcPr>
            <w:tcW w:w="1960" w:type="dxa"/>
            <w:vAlign w:val="bottom"/>
          </w:tcPr>
          <w:p>
            <w:pPr>
              <w:spacing w:after="0"/>
              <w:rPr>
                <w:sz w:val="17"/>
                <w:szCs w:val="17"/>
                <w:color w:val="auto"/>
              </w:rPr>
            </w:pPr>
          </w:p>
        </w:tc>
        <w:tc>
          <w:tcPr>
            <w:tcW w:w="660" w:type="dxa"/>
            <w:vAlign w:val="bottom"/>
            <w:gridSpan w:val="7"/>
          </w:tcPr>
          <w:p>
            <w:pPr>
              <w:jc w:val="center"/>
              <w:spacing w:after="0"/>
              <w:rPr>
                <w:sz w:val="20"/>
                <w:szCs w:val="20"/>
                <w:color w:val="auto"/>
              </w:rPr>
            </w:pPr>
            <w:r>
              <w:rPr>
                <w:rFonts w:ascii="Arial" w:cs="Arial" w:eastAsia="Arial" w:hAnsi="Arial"/>
                <w:sz w:val="17"/>
                <w:szCs w:val="17"/>
                <w:color w:val="0000FF"/>
                <w:w w:val="91"/>
              </w:rPr>
              <w:t>121</w:t>
            </w:r>
          </w:p>
        </w:tc>
      </w:tr>
      <w:tr>
        <w:trPr>
          <w:trHeight w:val="20"/>
        </w:trPr>
        <w:tc>
          <w:tcPr>
            <w:tcW w:w="7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gridSpan w:val="4"/>
          </w:tcPr>
          <w:p>
            <w:pPr>
              <w:spacing w:after="0"/>
              <w:rPr>
                <w:sz w:val="20"/>
                <w:szCs w:val="20"/>
                <w:color w:val="auto"/>
              </w:rPr>
            </w:pPr>
            <w:r>
              <w:rPr>
                <w:rFonts w:ascii="Arial" w:cs="Arial" w:eastAsia="Arial" w:hAnsi="Arial"/>
                <w:sz w:val="17"/>
                <w:szCs w:val="17"/>
                <w:color w:val="0000FF"/>
                <w:w w:val="96"/>
              </w:rPr>
              <w:t>LEGAL MATTERS</w:t>
            </w:r>
          </w:p>
        </w:tc>
        <w:tc>
          <w:tcPr>
            <w:tcW w:w="9180" w:type="dxa"/>
            <w:vAlign w:val="bottom"/>
            <w:gridSpan w:val="16"/>
          </w:tcPr>
          <w:p>
            <w:pPr>
              <w:spacing w:after="0"/>
              <w:rPr>
                <w:sz w:val="17"/>
                <w:szCs w:val="17"/>
                <w:color w:val="auto"/>
              </w:rPr>
            </w:pPr>
          </w:p>
        </w:tc>
        <w:tc>
          <w:tcPr>
            <w:tcW w:w="660" w:type="dxa"/>
            <w:vAlign w:val="bottom"/>
            <w:gridSpan w:val="7"/>
          </w:tcPr>
          <w:p>
            <w:pPr>
              <w:jc w:val="center"/>
              <w:spacing w:after="0"/>
              <w:rPr>
                <w:sz w:val="20"/>
                <w:szCs w:val="20"/>
                <w:color w:val="auto"/>
              </w:rPr>
            </w:pPr>
            <w:r>
              <w:rPr>
                <w:rFonts w:ascii="Arial" w:cs="Arial" w:eastAsia="Arial" w:hAnsi="Arial"/>
                <w:sz w:val="17"/>
                <w:szCs w:val="17"/>
                <w:color w:val="0000FF"/>
                <w:w w:val="91"/>
              </w:rPr>
              <w:t>129</w:t>
            </w:r>
          </w:p>
        </w:tc>
      </w:tr>
      <w:tr>
        <w:trPr>
          <w:trHeight w:val="20"/>
        </w:trPr>
        <w:tc>
          <w:tcPr>
            <w:tcW w:w="7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196"/>
        </w:trPr>
        <w:tc>
          <w:tcPr>
            <w:tcW w:w="780" w:type="dxa"/>
            <w:vAlign w:val="bottom"/>
          </w:tcPr>
          <w:p>
            <w:pPr>
              <w:spacing w:after="0"/>
              <w:rPr>
                <w:sz w:val="20"/>
                <w:szCs w:val="20"/>
                <w:color w:val="auto"/>
              </w:rPr>
            </w:pPr>
            <w:r>
              <w:rPr>
                <w:rFonts w:ascii="Arial" w:cs="Arial" w:eastAsia="Arial" w:hAnsi="Arial"/>
                <w:sz w:val="17"/>
                <w:szCs w:val="17"/>
                <w:color w:val="0000FF"/>
                <w:w w:val="93"/>
              </w:rPr>
              <w:t>EXPERTS</w:t>
            </w:r>
          </w:p>
        </w:tc>
        <w:tc>
          <w:tcPr>
            <w:tcW w:w="600" w:type="dxa"/>
            <w:vAlign w:val="bottom"/>
            <w:gridSpan w:val="3"/>
          </w:tcPr>
          <w:p>
            <w:pPr>
              <w:spacing w:after="0"/>
              <w:rPr>
                <w:sz w:val="17"/>
                <w:szCs w:val="17"/>
                <w:color w:val="auto"/>
              </w:rPr>
            </w:pPr>
          </w:p>
        </w:tc>
        <w:tc>
          <w:tcPr>
            <w:tcW w:w="9180" w:type="dxa"/>
            <w:vAlign w:val="bottom"/>
            <w:gridSpan w:val="16"/>
          </w:tcPr>
          <w:p>
            <w:pPr>
              <w:spacing w:after="0"/>
              <w:rPr>
                <w:sz w:val="17"/>
                <w:szCs w:val="17"/>
                <w:color w:val="auto"/>
              </w:rPr>
            </w:pPr>
          </w:p>
        </w:tc>
        <w:tc>
          <w:tcPr>
            <w:tcW w:w="660" w:type="dxa"/>
            <w:vAlign w:val="bottom"/>
            <w:gridSpan w:val="7"/>
          </w:tcPr>
          <w:p>
            <w:pPr>
              <w:jc w:val="center"/>
              <w:spacing w:after="0"/>
              <w:rPr>
                <w:sz w:val="20"/>
                <w:szCs w:val="20"/>
                <w:color w:val="auto"/>
              </w:rPr>
            </w:pPr>
            <w:r>
              <w:rPr>
                <w:rFonts w:ascii="Arial" w:cs="Arial" w:eastAsia="Arial" w:hAnsi="Arial"/>
                <w:sz w:val="17"/>
                <w:szCs w:val="17"/>
                <w:color w:val="0000FF"/>
                <w:w w:val="91"/>
              </w:rPr>
              <w:t>129</w:t>
            </w:r>
          </w:p>
        </w:tc>
      </w:tr>
      <w:tr>
        <w:trPr>
          <w:trHeight w:val="20"/>
        </w:trPr>
        <w:tc>
          <w:tcPr>
            <w:tcW w:w="780" w:type="dxa"/>
            <w:vAlign w:val="bottom"/>
            <w:shd w:val="clear" w:color="auto" w:fill="0000FF"/>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196"/>
        </w:trPr>
        <w:tc>
          <w:tcPr>
            <w:tcW w:w="10560" w:type="dxa"/>
            <w:vAlign w:val="bottom"/>
            <w:gridSpan w:val="20"/>
          </w:tcPr>
          <w:p>
            <w:pPr>
              <w:spacing w:after="0"/>
              <w:rPr>
                <w:sz w:val="20"/>
                <w:szCs w:val="20"/>
                <w:color w:val="auto"/>
              </w:rPr>
            </w:pPr>
            <w:r>
              <w:rPr>
                <w:rFonts w:ascii="Arial" w:cs="Arial" w:eastAsia="Arial" w:hAnsi="Arial"/>
                <w:sz w:val="17"/>
                <w:szCs w:val="17"/>
                <w:color w:val="0000FF"/>
              </w:rPr>
              <w:t>WHERE YOU CAN FIND ADDITIONAL INFORMATION</w:t>
            </w:r>
          </w:p>
        </w:tc>
        <w:tc>
          <w:tcPr>
            <w:tcW w:w="660" w:type="dxa"/>
            <w:vAlign w:val="bottom"/>
            <w:gridSpan w:val="7"/>
          </w:tcPr>
          <w:p>
            <w:pPr>
              <w:jc w:val="center"/>
              <w:spacing w:after="0"/>
              <w:rPr>
                <w:sz w:val="20"/>
                <w:szCs w:val="20"/>
                <w:color w:val="auto"/>
              </w:rPr>
            </w:pPr>
            <w:r>
              <w:rPr>
                <w:rFonts w:ascii="Arial" w:cs="Arial" w:eastAsia="Arial" w:hAnsi="Arial"/>
                <w:sz w:val="17"/>
                <w:szCs w:val="17"/>
                <w:color w:val="0000FF"/>
                <w:w w:val="91"/>
              </w:rPr>
              <w:t>129</w:t>
            </w:r>
          </w:p>
        </w:tc>
      </w:tr>
      <w:tr>
        <w:trPr>
          <w:trHeight w:val="20"/>
        </w:trPr>
        <w:tc>
          <w:tcPr>
            <w:tcW w:w="3340" w:type="dxa"/>
            <w:vAlign w:val="bottom"/>
            <w:gridSpan w:val="1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196"/>
        </w:trPr>
        <w:tc>
          <w:tcPr>
            <w:tcW w:w="10560" w:type="dxa"/>
            <w:vAlign w:val="bottom"/>
            <w:gridSpan w:val="20"/>
          </w:tcPr>
          <w:p>
            <w:pPr>
              <w:spacing w:after="0"/>
              <w:rPr>
                <w:sz w:val="20"/>
                <w:szCs w:val="20"/>
                <w:color w:val="auto"/>
              </w:rPr>
            </w:pPr>
            <w:r>
              <w:rPr>
                <w:rFonts w:ascii="Arial" w:cs="Arial" w:eastAsia="Arial" w:hAnsi="Arial"/>
                <w:sz w:val="17"/>
                <w:szCs w:val="17"/>
                <w:color w:val="0000FF"/>
              </w:rPr>
              <w:t>INDEX TO CONSOLIDATED FINANCIAL STATEMENTS</w:t>
            </w:r>
          </w:p>
        </w:tc>
        <w:tc>
          <w:tcPr>
            <w:tcW w:w="220" w:type="dxa"/>
            <w:vAlign w:val="bottom"/>
          </w:tcPr>
          <w:p>
            <w:pPr>
              <w:spacing w:after="0"/>
              <w:rPr>
                <w:sz w:val="17"/>
                <w:szCs w:val="17"/>
                <w:color w:val="auto"/>
              </w:rPr>
            </w:pPr>
          </w:p>
        </w:tc>
        <w:tc>
          <w:tcPr>
            <w:tcW w:w="440" w:type="dxa"/>
            <w:vAlign w:val="bottom"/>
            <w:gridSpan w:val="6"/>
          </w:tcPr>
          <w:p>
            <w:pPr>
              <w:jc w:val="center"/>
              <w:ind w:right="200"/>
              <w:spacing w:after="0"/>
              <w:rPr>
                <w:sz w:val="20"/>
                <w:szCs w:val="20"/>
                <w:color w:val="auto"/>
              </w:rPr>
            </w:pPr>
            <w:r>
              <w:rPr>
                <w:rFonts w:ascii="Arial" w:cs="Arial" w:eastAsia="Arial" w:hAnsi="Arial"/>
                <w:sz w:val="17"/>
                <w:szCs w:val="17"/>
                <w:color w:val="0000FF"/>
                <w:w w:val="93"/>
              </w:rPr>
              <w:t>F-1</w:t>
            </w:r>
          </w:p>
        </w:tc>
      </w:tr>
      <w:tr>
        <w:trPr>
          <w:trHeight w:val="142"/>
        </w:trPr>
        <w:tc>
          <w:tcPr>
            <w:tcW w:w="7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760" w:type="dxa"/>
            <w:vAlign w:val="bottom"/>
            <w:tcBorders>
              <w:top w:val="single" w:sz="8" w:color="0000FF"/>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this prospectus, “Silvaco,” “the company,” “we,” “us” and “our” refer to Silvaco Group, Inc. and its consolidated subsidiaries.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in this prospectus, or any applicable free writing prospectus, is accurate only as of the date of this prospectus, regardless of the time of delivery of this prospectus or any sale of shares of our common stock. Our business, financial condition, results of operations, and prospects may have and are likely to have changed since that date.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Through and including , 2023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investors outside the United States: Neither we nor the underwriters have done anything that would permit this offering or 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This prospectus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171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17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PROSPECTUS SUMMARY</w:t>
      </w:r>
    </w:p>
    <w:p>
      <w:pPr>
        <w:spacing w:after="0" w:line="332" w:lineRule="exact"/>
        <w:rPr>
          <w:sz w:val="20"/>
          <w:szCs w:val="20"/>
          <w:color w:val="auto"/>
        </w:rPr>
      </w:pPr>
    </w:p>
    <w:p>
      <w:pPr>
        <w:jc w:val="both"/>
        <w:ind w:left="440"/>
        <w:spacing w:after="0" w:line="265" w:lineRule="auto"/>
        <w:rPr>
          <w:sz w:val="20"/>
          <w:szCs w:val="20"/>
          <w:color w:val="auto"/>
        </w:rPr>
      </w:pPr>
      <w:r>
        <w:rPr>
          <w:rFonts w:ascii="Arial" w:cs="Arial" w:eastAsia="Arial" w:hAnsi="Arial"/>
          <w:sz w:val="17"/>
          <w:szCs w:val="17"/>
          <w:i w:val="1"/>
          <w:iCs w:val="1"/>
          <w:color w:val="auto"/>
        </w:rPr>
        <w:t>This summary highlights selected information in greater detail contained elsewhere in this prospectus and does not contain all of the information you should consider in making your investment decision. Before investing in our common stock, you should carefully read this entire prospectus, including our consolidated financial statements and related notes and the information set forth in “Risk Factors” and “Management’s Discussion and Analysis of Financial Condition and Results of Operations.”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83" w:lineRule="exact"/>
        <w:rPr>
          <w:sz w:val="20"/>
          <w:szCs w:val="20"/>
          <w:color w:val="auto"/>
        </w:rPr>
      </w:pPr>
    </w:p>
    <w:p>
      <w:pPr>
        <w:jc w:val="both"/>
        <w:ind w:left="440"/>
        <w:spacing w:after="0" w:line="256" w:lineRule="auto"/>
        <w:rPr>
          <w:sz w:val="20"/>
          <w:szCs w:val="20"/>
          <w:color w:val="auto"/>
        </w:rPr>
      </w:pPr>
      <w:r>
        <w:rPr>
          <w:rFonts w:ascii="Arial" w:cs="Arial" w:eastAsia="Arial" w:hAnsi="Arial"/>
          <w:sz w:val="17"/>
          <w:szCs w:val="17"/>
          <w:color w:val="auto"/>
        </w:rPr>
        <w:t>We are a provider of technology computer aided design software, electronic design automation software and semiconductor intellectual property, or TCAD, EDA and SIP, respectively.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systems-on-chip, or SoC, integrated circuits, or ICs, and SIP management tools to enable team collaborations on complex SoC designs. Our customers include semiconductor manufacturers, original equipment manufacturers, or OEMs, and original design manufacturers, or ODMs, who deploy our solutions in production flows across our target markets, including display, power devices, automotive, memory, high performance compute, or HPC, internet of things, or IoT, and 5G/6G mobile markets.</w:t>
      </w:r>
    </w:p>
    <w:p>
      <w:pPr>
        <w:spacing w:after="0" w:line="142" w:lineRule="exact"/>
        <w:rPr>
          <w:sz w:val="20"/>
          <w:szCs w:val="20"/>
          <w:color w:val="auto"/>
        </w:rPr>
      </w:pPr>
    </w:p>
    <w:p>
      <w:pPr>
        <w:jc w:val="both"/>
        <w:ind w:left="440"/>
        <w:spacing w:after="0" w:line="261" w:lineRule="auto"/>
        <w:rPr>
          <w:sz w:val="20"/>
          <w:szCs w:val="20"/>
          <w:color w:val="auto"/>
        </w:rPr>
      </w:pPr>
      <w:r>
        <w:rPr>
          <w:rFonts w:ascii="Arial" w:cs="Arial" w:eastAsia="Arial" w:hAnsi="Arial"/>
          <w:sz w:val="17"/>
          <w:szCs w:val="17"/>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125" w:lineRule="exact"/>
        <w:rPr>
          <w:sz w:val="20"/>
          <w:szCs w:val="20"/>
          <w:color w:val="auto"/>
        </w:rPr>
      </w:pPr>
    </w:p>
    <w:p>
      <w:pPr>
        <w:jc w:val="both"/>
        <w:ind w:left="440"/>
        <w:spacing w:after="0" w:line="259" w:lineRule="auto"/>
        <w:rPr>
          <w:sz w:val="20"/>
          <w:szCs w:val="20"/>
          <w:color w:val="auto"/>
        </w:rPr>
      </w:pPr>
      <w:r>
        <w:rPr>
          <w:rFonts w:ascii="Arial" w:cs="Arial" w:eastAsia="Arial" w:hAnsi="Arial"/>
          <w:sz w:val="17"/>
          <w:szCs w:val="17"/>
          <w:color w:val="auto"/>
        </w:rPr>
        <w:t>According to Grand View Research, the global EDA software market was estimated to reach $10.2 billion in global revenue in 2021 and is expected to reach $22.2 billion in global revenue in 2030; representing a 9.1% compound annual growth rate, or CAGR, driven in part by the growing complexity of semiconductor and photonics designs and increasing challenges associated with advanced materials and shrinking process technology nodes across the EDA market. We believe these trends will increase the need for TCAD, EDA and SIP solutions that accelerate time-to-market at reduced development and manufacturing costs and deliver processes and devices with better operating performance, lower cost, reduced power and improved product yield.</w:t>
      </w:r>
    </w:p>
    <w:p>
      <w:pPr>
        <w:spacing w:after="0" w:line="138" w:lineRule="exact"/>
        <w:rPr>
          <w:sz w:val="20"/>
          <w:szCs w:val="20"/>
          <w:color w:val="auto"/>
        </w:rPr>
      </w:pPr>
    </w:p>
    <w:p>
      <w:pPr>
        <w:jc w:val="both"/>
        <w:ind w:left="440"/>
        <w:spacing w:after="0" w:line="257" w:lineRule="auto"/>
        <w:rPr>
          <w:sz w:val="20"/>
          <w:szCs w:val="20"/>
          <w:color w:val="auto"/>
        </w:rPr>
      </w:pPr>
      <w:r>
        <w:rPr>
          <w:rFonts w:ascii="Arial" w:cs="Arial" w:eastAsia="Arial" w:hAnsi="Arial"/>
          <w:sz w:val="17"/>
          <w:szCs w:val="17"/>
          <w:color w:val="auto"/>
        </w:rPr>
        <w:t>We are a global leader in TCAD solutions for the power devices and display markets. Our TCAD solutions are designed to provide complete, fast, and accurate simulations and modeling of semiconductor and photonics device behavior, allowing our customers to design original, value-added processes and devices, explore trade-offs in performance, power, size and reliability and optimize their final design for manufacturing. By reducing the need to run expensive and time-consuming experiments in manufacturing, TCAD solutions enable companies to rapidly bring their products to market. Our TCAD solutions have been adopted by 3 of the 10 largest semiconductor companies by revenue in 2021, by 8 of the 10 largest flat panel display companies by revenue in 2021, and by 4 of the 10 leading power semiconductor devices companies in 2021.</w:t>
      </w:r>
    </w:p>
    <w:p>
      <w:pPr>
        <w:spacing w:after="0" w:line="141" w:lineRule="exact"/>
        <w:rPr>
          <w:sz w:val="20"/>
          <w:szCs w:val="20"/>
          <w:color w:val="auto"/>
        </w:rPr>
      </w:pPr>
    </w:p>
    <w:p>
      <w:pPr>
        <w:jc w:val="both"/>
        <w:ind w:left="440"/>
        <w:spacing w:after="0" w:line="259" w:lineRule="auto"/>
        <w:rPr>
          <w:sz w:val="20"/>
          <w:szCs w:val="20"/>
          <w:color w:val="auto"/>
        </w:rPr>
      </w:pPr>
      <w:r>
        <w:rPr>
          <w:rFonts w:ascii="Arial" w:cs="Arial" w:eastAsia="Arial" w:hAnsi="Arial"/>
          <w:sz w:val="17"/>
          <w:szCs w:val="17"/>
          <w:color w:val="auto"/>
        </w:rPr>
        <w:t>Our EDA solutions provide analog custom design flows that bring electrical and physical layout views together with circuit simulation and physical verification including sign-off at select foundries to help ensure correct-by-design and high-yielding products before committing to final silicon. We provide device characterization and modeling solutions that enable our customers to generate accurate, high-quality models for use in simulation and analysis of analog, mixed-signal and radiofrequency, or RF, circuits across our target markets. Our EDA solutions have been adopted by 6 of the 10 largest semiconductor companies by revenue in 2021 and by 7 of the 10 largest flat panel display companies by revenue in 2021.</w:t>
      </w:r>
    </w:p>
    <w:p>
      <w:pPr>
        <w:spacing w:after="0" w:line="138" w:lineRule="exact"/>
        <w:rPr>
          <w:sz w:val="20"/>
          <w:szCs w:val="20"/>
          <w:color w:val="auto"/>
        </w:rPr>
      </w:pPr>
    </w:p>
    <w:p>
      <w:pPr>
        <w:jc w:val="both"/>
        <w:ind w:left="440"/>
        <w:spacing w:after="0" w:line="261" w:lineRule="auto"/>
        <w:rPr>
          <w:sz w:val="20"/>
          <w:szCs w:val="20"/>
          <w:color w:val="auto"/>
        </w:rPr>
      </w:pPr>
      <w:r>
        <w:rPr>
          <w:rFonts w:ascii="Arial" w:cs="Arial" w:eastAsia="Arial" w:hAnsi="Arial"/>
          <w:sz w:val="17"/>
          <w:szCs w:val="17"/>
          <w:color w:val="auto"/>
        </w:rPr>
        <w:t>SIP solutions, including our offerings, provide pre-verified, high-yielding and silicon-proven SIP blocks designed to accelerate time-to-market for SoC designs. Our patented SIP fingerprint technology authenticates SIP before and after use in complex SoC designs to avoid costly design iterations and silicon re-spins. Our EDA solutions for SIP design integrate patented machine learning technologies with the goal of minimizing simulation time, chip area and power consumption. We provide SIP management software at the enterprise-level for managing, tracking and controlling SIPs that are used in SoC designs.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20"/>
          </w:cols>
          <w:pgMar w:left="320" w:top="125" w:right="75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19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We leverage decades of extensive technological expertise to provide our customers with agilely developed products. In doing so, we have built long-term relationships with select strategic customers that enable us to work with them from project inception in order to tailor solutions for their specific needs. These customer relationships help us improve our new product offerings for the larger market.</w:t>
      </w:r>
    </w:p>
    <w:p>
      <w:pPr>
        <w:spacing w:after="0" w:line="133" w:lineRule="exact"/>
        <w:rPr>
          <w:sz w:val="20"/>
          <w:szCs w:val="20"/>
          <w:color w:val="auto"/>
        </w:rPr>
      </w:pPr>
    </w:p>
    <w:p>
      <w:pPr>
        <w:jc w:val="both"/>
        <w:ind w:left="440"/>
        <w:spacing w:after="0" w:line="274" w:lineRule="auto"/>
        <w:rPr>
          <w:sz w:val="20"/>
          <w:szCs w:val="20"/>
          <w:color w:val="auto"/>
        </w:rPr>
      </w:pPr>
      <w:r>
        <w:rPr>
          <w:rFonts w:ascii="Arial" w:cs="Arial" w:eastAsia="Arial" w:hAnsi="Arial"/>
          <w:sz w:val="17"/>
          <w:szCs w:val="17"/>
          <w:color w:val="auto"/>
        </w:rPr>
        <w:t>Since 2015, we have acquired nine businesses, assets and/or technologies to complement our existing product offerings, expand into new markets or grow our existing market share, increase our engineering talent and enhance our technical capabilities. Our acquisition strategy also allows us to accelerate new product offerings.</w:t>
      </w:r>
    </w:p>
    <w:p>
      <w:pPr>
        <w:spacing w:after="0" w:line="114" w:lineRule="exact"/>
        <w:rPr>
          <w:sz w:val="20"/>
          <w:szCs w:val="20"/>
          <w:color w:val="auto"/>
        </w:rPr>
      </w:pPr>
    </w:p>
    <w:p>
      <w:pPr>
        <w:jc w:val="both"/>
        <w:ind w:left="440"/>
        <w:spacing w:after="0" w:line="301" w:lineRule="auto"/>
        <w:rPr>
          <w:sz w:val="20"/>
          <w:szCs w:val="20"/>
          <w:color w:val="auto"/>
        </w:rPr>
      </w:pPr>
      <w:r>
        <w:rPr>
          <w:rFonts w:ascii="Arial" w:cs="Arial" w:eastAsia="Arial" w:hAnsi="Arial"/>
          <w:sz w:val="17"/>
          <w:szCs w:val="17"/>
          <w:color w:val="auto"/>
        </w:rPr>
        <w:t>Our growth has further been driven by semiconductor and photonics companies’ increasing research and development spend due to increasing complexities of new material, new devices, and new systems in the markets we address. We address such market needs by:</w:t>
      </w:r>
    </w:p>
    <w:p>
      <w:pPr>
        <w:spacing w:after="0" w:line="90" w:lineRule="exact"/>
        <w:rPr>
          <w:sz w:val="20"/>
          <w:szCs w:val="20"/>
          <w:color w:val="auto"/>
        </w:rPr>
      </w:pPr>
    </w:p>
    <w:p>
      <w:pPr>
        <w:ind w:left="1080" w:hanging="325"/>
        <w:spacing w:after="0" w:line="266" w:lineRule="auto"/>
        <w:tabs>
          <w:tab w:leader="none" w:pos="1089"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Providing EDA, TCAD and SIP solutions that are interoperable and cost-effective and that our customers can use to introduce their products to market in a timely fashion;</w:t>
      </w:r>
    </w:p>
    <w:p>
      <w:pPr>
        <w:spacing w:after="0" w:line="1" w:lineRule="exact"/>
        <w:rPr>
          <w:rFonts w:ascii="Arial" w:cs="Arial" w:eastAsia="Arial" w:hAnsi="Arial"/>
          <w:sz w:val="17"/>
          <w:szCs w:val="17"/>
          <w:color w:val="auto"/>
        </w:rPr>
      </w:pPr>
    </w:p>
    <w:p>
      <w:pPr>
        <w:jc w:val="both"/>
        <w:ind w:left="1080" w:hanging="325"/>
        <w:spacing w:after="0" w:line="248" w:lineRule="auto"/>
        <w:tabs>
          <w:tab w:leader="none" w:pos="1089" w:val="left"/>
        </w:tabs>
        <w:numPr>
          <w:ilvl w:val="0"/>
          <w:numId w:val="1"/>
        </w:numPr>
        <w:rPr>
          <w:rFonts w:ascii="Arial" w:cs="Arial" w:eastAsia="Arial" w:hAnsi="Arial"/>
          <w:sz w:val="17"/>
          <w:szCs w:val="17"/>
          <w:color w:val="auto"/>
        </w:rPr>
      </w:pPr>
      <w:r>
        <w:rPr>
          <w:rFonts w:ascii="Arial" w:cs="Arial" w:eastAsia="Arial" w:hAnsi="Arial"/>
          <w:sz w:val="17"/>
          <w:szCs w:val="17"/>
          <w:color w:val="auto"/>
        </w:rPr>
        <w:t>Using advanced research and development and agile product development techniques to provide our customers with tailored solutions in vertical markets such as display, photonics, power devices, and other markets where new materials or structures are being developed;</w:t>
      </w:r>
    </w:p>
    <w:p>
      <w:pPr>
        <w:spacing w:after="0" w:line="1" w:lineRule="exact"/>
        <w:rPr>
          <w:rFonts w:ascii="Arial" w:cs="Arial" w:eastAsia="Arial" w:hAnsi="Arial"/>
          <w:sz w:val="17"/>
          <w:szCs w:val="17"/>
          <w:color w:val="auto"/>
        </w:rPr>
      </w:pPr>
    </w:p>
    <w:p>
      <w:pPr>
        <w:ind w:left="1080" w:hanging="325"/>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Providing leading-edge products that complement IC design flows and are compatible with customers’ existing design flows; and</w:t>
      </w:r>
    </w:p>
    <w:p>
      <w:pPr>
        <w:spacing w:after="0" w:line="13" w:lineRule="exact"/>
        <w:rPr>
          <w:rFonts w:ascii="Arial" w:cs="Arial" w:eastAsia="Arial" w:hAnsi="Arial"/>
          <w:sz w:val="17"/>
          <w:szCs w:val="17"/>
          <w:color w:val="auto"/>
        </w:rPr>
      </w:pPr>
    </w:p>
    <w:p>
      <w:pPr>
        <w:ind w:left="1080" w:right="20" w:hanging="325"/>
        <w:spacing w:after="0" w:line="273" w:lineRule="auto"/>
        <w:tabs>
          <w:tab w:leader="none" w:pos="1075"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Providing production ready and proven SIP, EDA SIP, and SIP/IC design management solutions that can be utilized individually, or as a full interoperable solution.</w:t>
      </w:r>
    </w:p>
    <w:p>
      <w:pPr>
        <w:spacing w:after="0" w:line="100" w:lineRule="exact"/>
        <w:rPr>
          <w:sz w:val="20"/>
          <w:szCs w:val="20"/>
          <w:color w:val="auto"/>
        </w:rPr>
      </w:pPr>
    </w:p>
    <w:p>
      <w:pPr>
        <w:jc w:val="both"/>
        <w:ind w:left="440"/>
        <w:spacing w:after="0" w:line="256" w:lineRule="auto"/>
        <w:rPr>
          <w:sz w:val="20"/>
          <w:szCs w:val="20"/>
          <w:color w:val="auto"/>
        </w:rPr>
      </w:pPr>
      <w:r>
        <w:rPr>
          <w:rFonts w:ascii="Arial" w:cs="Arial" w:eastAsia="Arial" w:hAnsi="Arial"/>
          <w:sz w:val="17"/>
          <w:szCs w:val="17"/>
          <w:color w:val="auto"/>
        </w:rPr>
        <w:t>During 2021, we generated $47.2 million in bookings and recognized $42.0 million of revenue, which includes substantial recognition of up-front time-based license, or TBL, revenue (due to the structure of certain of our customer contracts), a $1.8 million net loss and $2.6 million of negative cash flow from operating activities. During the nine months ended September 30, 2022, we generated $37.3 million in bookings and recognized $36.7 million of revenue, a $0.9 million net loss and $3.4 million of negative cash flow from operating activities. We invest significantly in business growth by continuing to expand our products, sales and marketing footprint. As of September 30, 2022, we had over 800 customers, of which over 200 were academic institutions, that relied on our solutions worldwide. Our academic customers not only have the potential to provide future human resources, but also can act as beta testers and provide feedback that allows us to enhance our products.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Industry Background</w:t>
      </w:r>
    </w:p>
    <w:p>
      <w:pPr>
        <w:spacing w:after="0" w:line="183" w:lineRule="exact"/>
        <w:rPr>
          <w:sz w:val="20"/>
          <w:szCs w:val="20"/>
          <w:color w:val="auto"/>
        </w:rPr>
      </w:pPr>
    </w:p>
    <w:p>
      <w:pPr>
        <w:jc w:val="both"/>
        <w:ind w:left="440"/>
        <w:spacing w:after="0" w:line="256" w:lineRule="auto"/>
        <w:rPr>
          <w:sz w:val="20"/>
          <w:szCs w:val="20"/>
          <w:color w:val="auto"/>
        </w:rPr>
      </w:pPr>
      <w:r>
        <w:rPr>
          <w:rFonts w:ascii="Arial" w:cs="Arial" w:eastAsia="Arial" w:hAnsi="Arial"/>
          <w:sz w:val="17"/>
          <w:szCs w:val="17"/>
          <w:i w:val="1"/>
          <w:iCs w:val="1"/>
          <w:color w:val="auto"/>
        </w:rPr>
        <w:t xml:space="preserve">Increasing semiconductor design complexity. </w:t>
      </w:r>
      <w:r>
        <w:rPr>
          <w:rFonts w:ascii="Arial" w:cs="Arial" w:eastAsia="Arial" w:hAnsi="Arial"/>
          <w:sz w:val="17"/>
          <w:szCs w:val="17"/>
          <w:color w:val="auto"/>
        </w:rPr>
        <w:t>The latest technological applications require greater semiconductor performance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functionality, which have necessitated the shift towards more advanced manufacturing process technologies, new materials, and continued reduction of transistor sizes. IC and SoC complexity have significantly increased to accommodate the increased number of functional SIP blocks per chip. The slowing of Gordon Moore’s, or Moore’s law (which states that the number of circuits on a microchip doubles every two years), has also led to the adoption of new semiconductor materials to address varying application requirements. All these factors have increased semiconductor design complexity, which in turn increases the probability for significant development delays and project failures. As a result, we believe there is a growing need for differentiated and cost-effective tools such as TCAD, EDA and SIP solutions that enable rapid and reliable development of products containing these newly added materials and technologies.</w:t>
      </w:r>
    </w:p>
    <w:p>
      <w:pPr>
        <w:spacing w:after="0" w:line="141" w:lineRule="exact"/>
        <w:rPr>
          <w:sz w:val="20"/>
          <w:szCs w:val="20"/>
          <w:color w:val="auto"/>
        </w:rPr>
      </w:pPr>
    </w:p>
    <w:p>
      <w:pPr>
        <w:jc w:val="both"/>
        <w:ind w:left="440"/>
        <w:spacing w:after="0" w:line="253" w:lineRule="auto"/>
        <w:rPr>
          <w:sz w:val="20"/>
          <w:szCs w:val="20"/>
          <w:color w:val="auto"/>
        </w:rPr>
      </w:pPr>
      <w:r>
        <w:rPr>
          <w:rFonts w:ascii="Arial" w:cs="Arial" w:eastAsia="Arial" w:hAnsi="Arial"/>
          <w:sz w:val="17"/>
          <w:szCs w:val="17"/>
          <w:i w:val="1"/>
          <w:iCs w:val="1"/>
          <w:color w:val="auto"/>
        </w:rPr>
        <w:t xml:space="preserve">Increasing semiconductor manufacturing and development costs. </w:t>
      </w:r>
      <w:r>
        <w:rPr>
          <w:rFonts w:ascii="Arial" w:cs="Arial" w:eastAsia="Arial" w:hAnsi="Arial"/>
          <w:sz w:val="17"/>
          <w:szCs w:val="17"/>
          <w:color w:val="auto"/>
        </w:rPr>
        <w:t>With each reduction in manufacturing process geometry comes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increase in manufacturing and development costs. According to IBS, the average cost of designing a 28nm chip is $40 million, a 7nm chip is $217 million, and a 5nm chip is $416 million and a 3nm chip will cost up to $590 million. The COVID-19 pandemic and subsequent semiconductor shortage have emphasized the need for supply chain optimization, further accelerating investments in semiconductor foundries. According to SEMI, worldwide foundry spending is expected to increase from $64.0 billion in 2020 to $109.0 billion by 2022, representing a 19% CAGR. The latest foundries being built are focused on leading-edge manufacturing process technology nodes, primarily driven by mobile applications, and require higher manufacturing yield efficiencies to offset the substantial development costs. As a result of IC technologies moving to sub 7nm process technology nodes and the resultant increase in design difficulty and development costs, we believe the continuing shift will increase demand for TCAD solutions in the design technology optimization loop to deliver high yields, accelerate time-to-market and further reduce costs by reducing the need to run expensive and time-consuming manufacturing experiments. In addition, as these trends continue, EDA solutions that meet manufacturing requirements and can reduce costs associated with potential production delays and project failures, and SIP solutions which can accelerate time-to-market by providing silicon-proven blocks that address complex SoCs and enable new technologies, such as IoT and HPC, are being more readily adopted to mitigate costs and shorten time to market.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20"/>
          </w:cols>
          <w:pgMar w:left="320" w:top="125" w:right="75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221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440"/>
        <w:spacing w:after="0" w:line="257" w:lineRule="auto"/>
        <w:rPr>
          <w:sz w:val="20"/>
          <w:szCs w:val="20"/>
          <w:color w:val="auto"/>
        </w:rPr>
      </w:pPr>
      <w:r>
        <w:rPr>
          <w:rFonts w:ascii="Arial" w:cs="Arial" w:eastAsia="Arial" w:hAnsi="Arial"/>
          <w:sz w:val="17"/>
          <w:szCs w:val="17"/>
          <w:i w:val="1"/>
          <w:iCs w:val="1"/>
          <w:color w:val="auto"/>
        </w:rPr>
        <w:t xml:space="preserve">Increasing end market diversity. </w:t>
      </w:r>
      <w:r>
        <w:rPr>
          <w:rFonts w:ascii="Arial" w:cs="Arial" w:eastAsia="Arial" w:hAnsi="Arial"/>
          <w:sz w:val="17"/>
          <w:szCs w:val="17"/>
          <w:color w:val="auto"/>
        </w:rPr>
        <w:t>There has been a significant growth in semiconductor demand driven by new applications in emerging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such as automotive, HPC and IoT. Performance and functionality requirements significantly vary across each market, which drives new design complexities and increases manufacturing and development costs. The increased diversity of applications in which semiconductors are being used, is leading to a need for more complex semiconductors to satisfy the needs of such applications, which requires further time and cost to develop such semiconductor solutions. As a result, there is a growing need to accelerate time-to-market and reduce costs by adopting complete TCAD, EDA and SIP solutions that enable customers to design, simulate, verify and analyze their products from the concept stage all the way up to complete product yield.</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Markets</w:t>
      </w:r>
    </w:p>
    <w:p>
      <w:pPr>
        <w:spacing w:after="0" w:line="18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To contend with industry performance requirements and new applications, engineers, researchers, and other professionals rely extensively on TCAD, EDA software tools and SIP for designing and optimizing advanced ICs components. Reliance on software tools and SIP has increased in recent years as design challenges have become increasingly complex.</w:t>
      </w:r>
    </w:p>
    <w:p>
      <w:pPr>
        <w:spacing w:after="0" w:line="13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Rapid increase in complexity of SoCs has been the result of shrinking manufacturing process geometries, application specific customization to improve computing performance, and adoption of new materials for high voltage applications and photonics computing. These changes have led to increased investments in our research and development.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solutions address the following markets:</w:t>
      </w:r>
    </w:p>
    <w:p>
      <w:pPr>
        <w:spacing w:after="0" w:line="183" w:lineRule="exact"/>
        <w:rPr>
          <w:sz w:val="20"/>
          <w:szCs w:val="20"/>
          <w:color w:val="auto"/>
        </w:rPr>
      </w:pPr>
    </w:p>
    <w:p>
      <w:pPr>
        <w:jc w:val="both"/>
        <w:ind w:left="1080" w:hanging="325"/>
        <w:spacing w:after="0" w:line="253" w:lineRule="auto"/>
        <w:tabs>
          <w:tab w:leader="none" w:pos="1102"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Automotive Market</w:t>
      </w:r>
      <w:r>
        <w:rPr>
          <w:rFonts w:ascii="Arial" w:cs="Arial" w:eastAsia="Arial" w:hAnsi="Arial"/>
          <w:sz w:val="17"/>
          <w:szCs w:val="17"/>
          <w:color w:val="auto"/>
        </w:rPr>
        <w:t>. The semiconductor content in the automotive market is rapidly growing and evolving, driven by vehicle</w:t>
      </w:r>
      <w:r>
        <w:rPr>
          <w:rFonts w:ascii="Arial" w:cs="Arial" w:eastAsia="Arial" w:hAnsi="Arial"/>
          <w:sz w:val="17"/>
          <w:szCs w:val="17"/>
          <w:i w:val="1"/>
          <w:iCs w:val="1"/>
          <w:color w:val="auto"/>
        </w:rPr>
        <w:t xml:space="preserve"> </w:t>
      </w:r>
      <w:r>
        <w:rPr>
          <w:rFonts w:ascii="Arial" w:cs="Arial" w:eastAsia="Arial" w:hAnsi="Arial"/>
          <w:sz w:val="17"/>
          <w:szCs w:val="17"/>
          <w:color w:val="auto"/>
        </w:rPr>
        <w:t>electrification, advances in electronic control, vehicle connectivity to the internet and autonomous driving. The new requirements of the automotive market are driving the increasing adoption of different kinds of semiconductor materials such as silicon, or SiC, gallium nitride, or GaN, and other wide bandgap materials to replace traditional silicon in high-voltage power devices. Companies designing or manufacturing SiC or GaN devices for the power device market can use TCAD simulations to replace design of experiments and enable flexible foundry selection by reducing physical trial and error cycles. We can also provide specialized EDA solutions and foundational SIPs that our customers integrate into their IC design flow.</w:t>
      </w:r>
    </w:p>
    <w:p>
      <w:pPr>
        <w:spacing w:after="0" w:line="4" w:lineRule="exact"/>
        <w:rPr>
          <w:rFonts w:ascii="Arial" w:cs="Arial" w:eastAsia="Arial" w:hAnsi="Arial"/>
          <w:sz w:val="17"/>
          <w:szCs w:val="17"/>
          <w:color w:val="auto"/>
        </w:rPr>
      </w:pPr>
    </w:p>
    <w:p>
      <w:pPr>
        <w:jc w:val="both"/>
        <w:ind w:left="1080" w:hanging="325"/>
        <w:spacing w:after="0" w:line="252" w:lineRule="auto"/>
        <w:tabs>
          <w:tab w:leader="none" w:pos="1116"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Internet of Things Market</w:t>
      </w:r>
      <w:r>
        <w:rPr>
          <w:rFonts w:ascii="Arial" w:cs="Arial" w:eastAsia="Arial" w:hAnsi="Arial"/>
          <w:sz w:val="17"/>
          <w:szCs w:val="17"/>
          <w:color w:val="auto"/>
        </w:rPr>
        <w:t>. IoT devices require a complex SoC to perform sensing, collecting data, processing data and</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connecting to other IoT devices or a central server or cloud through several wireless solutions. At the edge of IoT, new devices with ultra-low energy demands will be needed to harvest sensor data across a wide variety of environments. We provide a comprehensive portfolio of SIPs and tools for the IoT market, including Standard Cell IP, library creation and characterization tools, ultra-low power static random-access memories, or SRAM, compilers, connectivity IOs, microprocessor SIPs, and autonomous mobile robot alliance, or AMRA, SIP Cores and Subsystem.</w:t>
      </w:r>
    </w:p>
    <w:p>
      <w:pPr>
        <w:spacing w:after="0" w:line="3" w:lineRule="exact"/>
        <w:rPr>
          <w:rFonts w:ascii="Arial" w:cs="Arial" w:eastAsia="Arial" w:hAnsi="Arial"/>
          <w:sz w:val="17"/>
          <w:szCs w:val="17"/>
          <w:color w:val="auto"/>
        </w:rPr>
      </w:pPr>
    </w:p>
    <w:p>
      <w:pPr>
        <w:jc w:val="both"/>
        <w:ind w:left="1080" w:right="20" w:hanging="325"/>
        <w:spacing w:after="0" w:line="252" w:lineRule="auto"/>
        <w:tabs>
          <w:tab w:leader="none" w:pos="1075"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5G/6G and Mobile Communications Markets</w:t>
      </w:r>
      <w:r>
        <w:rPr>
          <w:rFonts w:ascii="Arial" w:cs="Arial" w:eastAsia="Arial" w:hAnsi="Arial"/>
          <w:sz w:val="17"/>
          <w:szCs w:val="17"/>
          <w:color w:val="auto"/>
        </w:rPr>
        <w:t>. IDC estimates that mobile phone semiconductor revenue will reach $191.9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2026, and we believe the shift to 5G/6G will increase demand within our industry due to the complex nature and design cycle of 5G/6G chips. The adoption of more advanced process technology nodes for 5G mobile devices means longer circuit simulation times due to substantial increases in unwanted electrical components (parasitics) in nanometer geometries. We believe our parasitic reduction and analysis tools are unique in the market, complementing existing tool flows. These solutions are complemented by our circuit simulation tool for RF, Physical Verification tools and our full analog/custom flow for analog block creation.</w:t>
      </w:r>
    </w:p>
    <w:p>
      <w:pPr>
        <w:spacing w:after="0" w:line="1" w:lineRule="exact"/>
        <w:rPr>
          <w:rFonts w:ascii="Arial" w:cs="Arial" w:eastAsia="Arial" w:hAnsi="Arial"/>
          <w:sz w:val="17"/>
          <w:szCs w:val="17"/>
          <w:color w:val="auto"/>
        </w:rPr>
      </w:pPr>
    </w:p>
    <w:p>
      <w:pPr>
        <w:jc w:val="both"/>
        <w:ind w:left="1080" w:hanging="325"/>
        <w:spacing w:after="0" w:line="234" w:lineRule="auto"/>
        <w:tabs>
          <w:tab w:leader="none" w:pos="1089"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Display Market</w:t>
      </w:r>
      <w:r>
        <w:rPr>
          <w:rFonts w:ascii="Arial" w:cs="Arial" w:eastAsia="Arial" w:hAnsi="Arial"/>
          <w:sz w:val="17"/>
          <w:szCs w:val="17"/>
          <w:color w:val="auto"/>
        </w:rPr>
        <w:t>. With the growth in adoption of mobile electronics such as smartphones, smart watches, wearables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reality, or VR, gaming, flat-screen TVs, and more, we believe semiconductors used in display technologies are of increasing importance. According to Allied Market Research, the global display market was valued at $114.9 billion in 2021, and is projected to reach $216.3 billion by 2031, representing a CAGR of 6.7% from 2022 to 2031. Display manufacturers are continuing to make large investments in organic light-emitting diode, or OLED, and active-matrix organic light-emitting diode, or AMOLED, as well as new technologies such as quantum dot-LED and MicroLED. These trends are driving large changes in materials and fabrication methods for displays.</w:t>
      </w:r>
    </w:p>
    <w:p>
      <w:pPr>
        <w:spacing w:after="0" w:line="2" w:lineRule="exact"/>
        <w:rPr>
          <w:rFonts w:ascii="Arial" w:cs="Arial" w:eastAsia="Arial" w:hAnsi="Arial"/>
          <w:sz w:val="17"/>
          <w:szCs w:val="17"/>
          <w:color w:val="auto"/>
        </w:rPr>
      </w:pPr>
    </w:p>
    <w:p>
      <w:pPr>
        <w:jc w:val="both"/>
        <w:ind w:left="1080" w:hanging="325"/>
        <w:spacing w:after="0" w:line="252" w:lineRule="auto"/>
        <w:tabs>
          <w:tab w:leader="none" w:pos="1102"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Memory Market</w:t>
      </w:r>
      <w:r>
        <w:rPr>
          <w:rFonts w:ascii="Arial" w:cs="Arial" w:eastAsia="Arial" w:hAnsi="Arial"/>
          <w:sz w:val="17"/>
          <w:szCs w:val="17"/>
          <w:color w:val="auto"/>
        </w:rPr>
        <w:t>. The memory market for semiconductors is expected to continue growing at a fast pace, driven by large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the demand for dynamic random-access memory and flash memory products. We believe our TCAD solution, complemented by our device modeling tools and services, enables memory design teams to explore new materials and device architectures and achieve optimum power and performance for memory elements.</w:t>
      </w:r>
    </w:p>
    <w:p>
      <w:pPr>
        <w:spacing w:after="0" w:line="2" w:lineRule="exact"/>
        <w:rPr>
          <w:rFonts w:ascii="Arial" w:cs="Arial" w:eastAsia="Arial" w:hAnsi="Arial"/>
          <w:sz w:val="17"/>
          <w:szCs w:val="17"/>
          <w:color w:val="auto"/>
        </w:rPr>
      </w:pPr>
    </w:p>
    <w:p>
      <w:pPr>
        <w:jc w:val="both"/>
        <w:ind w:left="1080" w:hanging="325"/>
        <w:spacing w:after="0" w:line="254" w:lineRule="auto"/>
        <w:tabs>
          <w:tab w:leader="none" w:pos="1075"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High Performance Computing Market</w:t>
      </w:r>
      <w:r>
        <w:rPr>
          <w:rFonts w:ascii="Arial" w:cs="Arial" w:eastAsia="Arial" w:hAnsi="Arial"/>
          <w:sz w:val="17"/>
          <w:szCs w:val="17"/>
          <w:color w:val="auto"/>
        </w:rPr>
        <w:t>. According to Allied Market Research, the global HPC chipset market is estimated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at a 19.1% CAGR from 2019 to 2027. Our foundational SIPs, memory compilers and library creation EDA tools have been adopted by our customers in HPC applications, which we believe allow our customers to gain a performance edge by using specialized circuits. We also provide modeling services</w:t>
      </w:r>
    </w:p>
    <w:p>
      <w:pPr>
        <w:spacing w:after="0" w:line="200" w:lineRule="exact"/>
        <w:rPr>
          <w:sz w:val="20"/>
          <w:szCs w:val="20"/>
          <w:color w:val="auto"/>
        </w:rPr>
      </w:pPr>
    </w:p>
    <w:p>
      <w:pPr>
        <w:spacing w:after="0" w:line="3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20"/>
          </w:cols>
          <w:pgMar w:left="320" w:top="125" w:right="7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419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80"/>
        <w:spacing w:after="0" w:line="258" w:lineRule="auto"/>
        <w:rPr>
          <w:sz w:val="20"/>
          <w:szCs w:val="20"/>
          <w:color w:val="auto"/>
        </w:rPr>
      </w:pPr>
      <w:r>
        <w:rPr>
          <w:rFonts w:ascii="Arial" w:cs="Arial" w:eastAsia="Arial" w:hAnsi="Arial"/>
          <w:sz w:val="17"/>
          <w:szCs w:val="17"/>
          <w:color w:val="auto"/>
        </w:rPr>
        <w:t>and circuit libraries for cryogenic temperatures used in quantum computing and our TCAD software is being used to design photonics devices.</w:t>
      </w:r>
    </w:p>
    <w:p>
      <w:pPr>
        <w:spacing w:after="0" w:line="1" w:lineRule="exact"/>
        <w:rPr>
          <w:sz w:val="20"/>
          <w:szCs w:val="20"/>
          <w:color w:val="auto"/>
        </w:rPr>
      </w:pPr>
    </w:p>
    <w:p>
      <w:pPr>
        <w:jc w:val="both"/>
        <w:ind w:left="1080" w:hanging="325"/>
        <w:spacing w:after="0" w:line="255" w:lineRule="auto"/>
        <w:tabs>
          <w:tab w:leader="none" w:pos="108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Power Electronics Market</w:t>
      </w:r>
      <w:r>
        <w:rPr>
          <w:rFonts w:ascii="Arial" w:cs="Arial" w:eastAsia="Arial" w:hAnsi="Arial"/>
          <w:sz w:val="17"/>
          <w:szCs w:val="17"/>
          <w:color w:val="auto"/>
        </w:rPr>
        <w:t>. With the advent of high-volume manufacturing of new process technologies such as SiC and GaN,</w:t>
      </w:r>
      <w:r>
        <w:rPr>
          <w:rFonts w:ascii="Arial" w:cs="Arial" w:eastAsia="Arial" w:hAnsi="Arial"/>
          <w:sz w:val="17"/>
          <w:szCs w:val="17"/>
          <w:i w:val="1"/>
          <w:iCs w:val="1"/>
          <w:color w:val="auto"/>
        </w:rPr>
        <w:t xml:space="preserve"> </w:t>
      </w:r>
      <w:r>
        <w:rPr>
          <w:rFonts w:ascii="Arial" w:cs="Arial" w:eastAsia="Arial" w:hAnsi="Arial"/>
          <w:sz w:val="17"/>
          <w:szCs w:val="17"/>
          <w:color w:val="auto"/>
        </w:rPr>
        <w:t>many OEMs and ODMs are producing electronic devices and systems that benefit from these technologies. GaN is being used for low power/voltage, high frequency applications and SiC is being used for high power and high voltage switching power applications. We have gained new customers that utilized, and were early adopters of, our TCAD and EDA solutions to address their simulation/analysis needs for these new technologies at foundries, device and process levels all the way up to the system design for power management.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Industry Challenges</w:t>
      </w:r>
    </w:p>
    <w:p>
      <w:pPr>
        <w:spacing w:after="0" w:line="18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Design and manufacturing of SoCs is a time intensive and costly process. Complex IoT class of SoC and Graphics Processing Unit, or GPU, class processor cost millions to billions of dollars to develop. The development, qualification, and manufacturing cycle for SoCs varies by market and may require lengthy development times. The main challenges for the industry include:</w:t>
      </w:r>
    </w:p>
    <w:p>
      <w:pPr>
        <w:spacing w:after="0" w:line="133" w:lineRule="exact"/>
        <w:rPr>
          <w:sz w:val="20"/>
          <w:szCs w:val="20"/>
          <w:color w:val="auto"/>
        </w:rPr>
      </w:pPr>
    </w:p>
    <w:p>
      <w:pPr>
        <w:ind w:left="1080" w:hanging="32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Rapid increase of design complexity for ICs and SoCs.</w:t>
      </w:r>
    </w:p>
    <w:p>
      <w:pPr>
        <w:spacing w:after="0" w:line="23" w:lineRule="exact"/>
        <w:rPr>
          <w:rFonts w:ascii="Arial" w:cs="Arial" w:eastAsia="Arial" w:hAnsi="Arial"/>
          <w:sz w:val="17"/>
          <w:szCs w:val="17"/>
          <w:color w:val="auto"/>
        </w:rPr>
      </w:pPr>
    </w:p>
    <w:p>
      <w:pPr>
        <w:ind w:left="1080" w:hanging="32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Rapid increase of design cost and time for ICs and SoCs.</w:t>
      </w:r>
    </w:p>
    <w:p>
      <w:pPr>
        <w:spacing w:after="0" w:line="13" w:lineRule="exact"/>
        <w:rPr>
          <w:rFonts w:ascii="Arial" w:cs="Arial" w:eastAsia="Arial" w:hAnsi="Arial"/>
          <w:sz w:val="17"/>
          <w:szCs w:val="17"/>
          <w:color w:val="auto"/>
        </w:rPr>
      </w:pPr>
    </w:p>
    <w:p>
      <w:pPr>
        <w:ind w:left="1080" w:hanging="32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Evolving manufacturing complexity processes, supply chains and yields.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Solutions and Competitive Strengths</w:t>
      </w:r>
    </w:p>
    <w:p>
      <w:pPr>
        <w:spacing w:after="0" w:line="18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We are a provider of TCAD, EDA and SIP solutions. We have decades of expertise developing the “technology behind the chip” and providing solutions that span from atoms to systems, from providing software for the atomic level simulation of semiconductor and photonics material for devices, to providing software and SIP for the design and analysis of circuits and system level solutions. Our primary strengths include:</w:t>
      </w:r>
    </w:p>
    <w:p>
      <w:pPr>
        <w:spacing w:after="0" w:line="132" w:lineRule="exact"/>
        <w:rPr>
          <w:sz w:val="20"/>
          <w:szCs w:val="20"/>
          <w:color w:val="auto"/>
        </w:rPr>
      </w:pPr>
    </w:p>
    <w:p>
      <w:pPr>
        <w:jc w:val="both"/>
        <w:ind w:left="1080" w:hanging="325"/>
        <w:spacing w:after="0" w:line="254" w:lineRule="auto"/>
        <w:tabs>
          <w:tab w:leader="none" w:pos="1089"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Enabling companies to accelerate IC and photonics designs to efficiently optimize devices</w:t>
      </w:r>
      <w:r>
        <w:rPr>
          <w:rFonts w:ascii="Arial" w:cs="Arial" w:eastAsia="Arial" w:hAnsi="Arial"/>
          <w:sz w:val="17"/>
          <w:szCs w:val="17"/>
          <w:color w:val="auto"/>
        </w:rPr>
        <w:t>. Companies use TCAD solutions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model the fabrication process and devices used in semiconductors and photonics, thus potentially accelerating the time to develop technology and ramping to yield, reducing the need to run wafers, and optimizing devices, all of which can contribute to lower development costs. We develop our EDA design and simulation solutions and SIP to be tailored to specific technologies and market segments, to enhance design flows that optimize Power, Performance and Area-Cost, or PPA.</w:t>
      </w:r>
    </w:p>
    <w:p>
      <w:pPr>
        <w:jc w:val="both"/>
        <w:ind w:left="1080" w:right="20" w:hanging="325"/>
        <w:spacing w:after="0" w:line="235" w:lineRule="auto"/>
        <w:tabs>
          <w:tab w:leader="none" w:pos="10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Early mover advantage in vertical markets</w:t>
      </w:r>
      <w:r>
        <w:rPr>
          <w:rFonts w:ascii="Arial" w:cs="Arial" w:eastAsia="Arial" w:hAnsi="Arial"/>
          <w:sz w:val="17"/>
          <w:szCs w:val="17"/>
          <w:color w:val="auto"/>
        </w:rPr>
        <w:t>. For decades we have focused on vertical markets, such as display and power,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developed industrial and academic partnerships that enable our agile and fast development of solutions aligned with market needs, such as our TCAD and EDA software solutions tailored for use in the display and power markets.</w:t>
      </w:r>
    </w:p>
    <w:p>
      <w:pPr>
        <w:jc w:val="both"/>
        <w:ind w:left="1080" w:hanging="325"/>
        <w:spacing w:after="0" w:line="254" w:lineRule="auto"/>
        <w:tabs>
          <w:tab w:leader="none" w:pos="10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Leading point tools complement existing chip design flows</w:t>
      </w:r>
      <w:r>
        <w:rPr>
          <w:rFonts w:ascii="Arial" w:cs="Arial" w:eastAsia="Arial" w:hAnsi="Arial"/>
          <w:sz w:val="17"/>
          <w:szCs w:val="17"/>
          <w:color w:val="auto"/>
        </w:rPr>
        <w:t>. Point tools include Jivaro (parasitic reduction, often included in circuit</w:t>
      </w:r>
      <w:r>
        <w:rPr>
          <w:rFonts w:ascii="Arial" w:cs="Arial" w:eastAsia="Arial" w:hAnsi="Arial"/>
          <w:sz w:val="17"/>
          <w:szCs w:val="17"/>
          <w:i w:val="1"/>
          <w:iCs w:val="1"/>
          <w:color w:val="auto"/>
        </w:rPr>
        <w:t xml:space="preserve"> </w:t>
      </w:r>
      <w:r>
        <w:rPr>
          <w:rFonts w:ascii="Arial" w:cs="Arial" w:eastAsia="Arial" w:hAnsi="Arial"/>
          <w:sz w:val="17"/>
          <w:szCs w:val="17"/>
          <w:color w:val="auto"/>
        </w:rPr>
        <w:t>simulation), Viso (parasitics analysis, often included in extraction), and Varman (statistical variation analysis, used in advanced technologies for cell and memory characterization).</w:t>
      </w:r>
    </w:p>
    <w:p>
      <w:pPr>
        <w:jc w:val="both"/>
        <w:ind w:left="1080" w:hanging="325"/>
        <w:spacing w:after="0" w:line="250" w:lineRule="auto"/>
        <w:tabs>
          <w:tab w:leader="none" w:pos="10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Production-ready, also known as silicon-proven, SIP for SoC design</w:t>
      </w:r>
      <w:r>
        <w:rPr>
          <w:rFonts w:ascii="Arial" w:cs="Arial" w:eastAsia="Arial" w:hAnsi="Arial"/>
          <w:sz w:val="17"/>
          <w:szCs w:val="17"/>
          <w:color w:val="auto"/>
        </w:rPr>
        <w:t>. We provide production-ready SIP to our customers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market (Flexcan, Flexray and I3C), and consumer markets (GPIO, I3C and AMBA) by productizing our partner’s, NXP Semiconductor Netherlands B.V., or NXP, production-ready SIP. In addition, we provide production-ready standard cells, memory and I/O SIP that is developed in-house. Lastly, we provide SIP and design management tools that enable SIP validation at SoC level, potentially streamlining design workflows.</w:t>
      </w:r>
    </w:p>
    <w:p>
      <w:pPr>
        <w:jc w:val="both"/>
        <w:ind w:left="1080" w:hanging="325"/>
        <w:spacing w:after="0" w:line="250" w:lineRule="auto"/>
        <w:tabs>
          <w:tab w:leader="none" w:pos="10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Development and support of our customers’ specific needs</w:t>
      </w:r>
      <w:r>
        <w:rPr>
          <w:rFonts w:ascii="Arial" w:cs="Arial" w:eastAsia="Arial" w:hAnsi="Arial"/>
          <w:sz w:val="17"/>
          <w:szCs w:val="17"/>
          <w:color w:val="auto"/>
        </w:rPr>
        <w:t>. Our size and focus on specific market segments allow us to develop</w:t>
      </w:r>
      <w:r>
        <w:rPr>
          <w:rFonts w:ascii="Arial" w:cs="Arial" w:eastAsia="Arial" w:hAnsi="Arial"/>
          <w:sz w:val="17"/>
          <w:szCs w:val="17"/>
          <w:i w:val="1"/>
          <w:iCs w:val="1"/>
          <w:color w:val="auto"/>
        </w:rPr>
        <w:t xml:space="preserve"> </w:t>
      </w:r>
      <w:r>
        <w:rPr>
          <w:rFonts w:ascii="Arial" w:cs="Arial" w:eastAsia="Arial" w:hAnsi="Arial"/>
          <w:sz w:val="17"/>
          <w:szCs w:val="17"/>
          <w:color w:val="auto"/>
        </w:rPr>
        <w:t>highly agile solutions and to work with our customers with a goal of developing solutions that meet their specific needs. Through our collaboration with our academic partners such as Purdue University and Christian Doppler Labs at the University of Vienna, our TCAD and EDA tools are made ready for the next generation of processes, materials and systems.</w:t>
      </w:r>
    </w:p>
    <w:p>
      <w:pPr>
        <w:spacing w:after="0" w:line="2" w:lineRule="exact"/>
        <w:rPr>
          <w:rFonts w:ascii="Arial" w:cs="Arial" w:eastAsia="Arial" w:hAnsi="Arial"/>
          <w:sz w:val="17"/>
          <w:szCs w:val="17"/>
          <w:color w:val="auto"/>
        </w:rPr>
      </w:pPr>
    </w:p>
    <w:p>
      <w:pPr>
        <w:ind w:left="1080" w:hanging="325"/>
        <w:spacing w:after="0" w:line="256" w:lineRule="auto"/>
        <w:tabs>
          <w:tab w:leader="none" w:pos="107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Interoperable product Portfolio among TCAD, EDA and SIP</w:t>
      </w:r>
      <w:r>
        <w:rPr>
          <w:rFonts w:ascii="Arial" w:cs="Arial" w:eastAsia="Arial" w:hAnsi="Arial"/>
          <w:sz w:val="17"/>
          <w:szCs w:val="17"/>
          <w:color w:val="auto"/>
        </w:rPr>
        <w:t>. Our tools have compatible databases across all of our products for</w:t>
      </w:r>
      <w:r>
        <w:rPr>
          <w:rFonts w:ascii="Arial" w:cs="Arial" w:eastAsia="Arial" w:hAnsi="Arial"/>
          <w:sz w:val="17"/>
          <w:szCs w:val="17"/>
          <w:i w:val="1"/>
          <w:iCs w:val="1"/>
          <w:color w:val="auto"/>
        </w:rPr>
        <w:t xml:space="preserve"> </w:t>
      </w:r>
      <w:r>
        <w:rPr>
          <w:rFonts w:ascii="Arial" w:cs="Arial" w:eastAsia="Arial" w:hAnsi="Arial"/>
          <w:sz w:val="17"/>
          <w:szCs w:val="17"/>
          <w:color w:val="auto"/>
        </w:rPr>
        <w:t>seamless scaling of customer designs.</w:t>
      </w:r>
    </w:p>
    <w:p>
      <w:pPr>
        <w:spacing w:after="0" w:line="1" w:lineRule="exact"/>
        <w:rPr>
          <w:rFonts w:ascii="Arial" w:cs="Arial" w:eastAsia="Arial" w:hAnsi="Arial"/>
          <w:sz w:val="17"/>
          <w:szCs w:val="17"/>
          <w:color w:val="auto"/>
        </w:rPr>
      </w:pPr>
    </w:p>
    <w:p>
      <w:pPr>
        <w:jc w:val="both"/>
        <w:ind w:left="1080" w:hanging="325"/>
        <w:spacing w:after="0" w:line="256" w:lineRule="auto"/>
        <w:tabs>
          <w:tab w:leader="none" w:pos="1089"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Cost-effective end-to-end solutions</w:t>
      </w:r>
      <w:r>
        <w:rPr>
          <w:rFonts w:ascii="Arial" w:cs="Arial" w:eastAsia="Arial" w:hAnsi="Arial"/>
          <w:sz w:val="17"/>
          <w:szCs w:val="17"/>
          <w:color w:val="auto"/>
        </w:rPr>
        <w:t>. We offer complete solutions for device characterization, compact model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circuit simulation; analog custom design, including schematics, layout, extraction and design rule check, or DRC, and process and device TCAD. We believe that our software solution pricing is competitive, which is derived from factors such as costs associated with research and development, inflation, licenses mix, number of licenses per product and number of years per TBL, as well as required license maintenance and services.</w:t>
      </w:r>
    </w:p>
    <w:p>
      <w:pPr>
        <w:spacing w:after="0" w:line="129" w:lineRule="exact"/>
        <w:rPr>
          <w:sz w:val="20"/>
          <w:szCs w:val="20"/>
          <w:color w:val="auto"/>
        </w:rPr>
      </w:pPr>
    </w:p>
    <w:p>
      <w:pPr>
        <w:ind w:left="440" w:right="20"/>
        <w:spacing w:after="0" w:line="301" w:lineRule="auto"/>
        <w:rPr>
          <w:sz w:val="20"/>
          <w:szCs w:val="20"/>
          <w:color w:val="auto"/>
        </w:rPr>
      </w:pPr>
      <w:r>
        <w:rPr>
          <w:rFonts w:ascii="Arial" w:cs="Arial" w:eastAsia="Arial" w:hAnsi="Arial"/>
          <w:sz w:val="17"/>
          <w:szCs w:val="17"/>
          <w:color w:val="auto"/>
        </w:rPr>
        <w:t>Based on a report conducted by Electronic System Design Alliance, in 2021 we ranked second worldwide in the TCAD market based on revenue. Our solutions, many of which can be used in tandem with our competitors’ tools,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20"/>
          </w:cols>
          <w:pgMar w:left="320" w:top="125" w:right="75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025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440"/>
        <w:spacing w:after="0" w:line="261" w:lineRule="auto"/>
        <w:rPr>
          <w:sz w:val="20"/>
          <w:szCs w:val="20"/>
          <w:color w:val="auto"/>
        </w:rPr>
      </w:pPr>
      <w:r>
        <w:rPr>
          <w:rFonts w:ascii="Arial" w:cs="Arial" w:eastAsia="Arial" w:hAnsi="Arial"/>
          <w:sz w:val="17"/>
          <w:szCs w:val="17"/>
          <w:color w:val="auto"/>
        </w:rPr>
        <w:t>have been adopted by some of the leading display and power devices providers. These customers use our design software to address certain design challenges. We believe that our positions in the TCAD and displays and power devices markets are strengthened by our EDA product line capabilities. We believe that we have a competitive advantage in these markets in part due to our investment in advanced semiconductor and photonics TCAD solutions, including investments in atomistic simulations, process etch, process deposition and design of experiments, or DOE, that are artificial intelligence, or AI, driven.</w:t>
      </w:r>
    </w:p>
    <w:p>
      <w:pPr>
        <w:spacing w:after="0" w:line="139"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7"/>
          <w:szCs w:val="17"/>
          <w:color w:val="auto"/>
        </w:rPr>
        <w:t>We have also developed software that certain of our customers have labelled as having best-in-class point tools capabilities. To our knowledge, standalone resistor and capacitor, or RC, parasitic reduction (Jivaro) is not offered by competitors and is included in products like circuit simulation. We believe that we have a strong market position in this market niche and that our solution is competitive to other solutions in the market. Also, in the highly competitive analog custom design market, particularly for more mature technologies, we believe that our willingness and capability of developing process design kits, or PDKs, for specific technologies has the potential to give us a natural advantage.</w:t>
      </w:r>
    </w:p>
    <w:p>
      <w:pPr>
        <w:spacing w:after="0" w:line="125"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We believe that we provide competitive SIP solutions targeting certain end markets. For example, we license our SIP solution that targets the automotive industry from NXP, which is a leading provider of SoCs for the automotive market. In addition, our SIP solutions are qualified and silicon-proven at certain foundries, which we believe enables our customers using such foundries to lower their cost of development and reduce their time to market compared to SIP solutions that are not silicon-proven at such foundries.</w:t>
      </w:r>
    </w:p>
    <w:p>
      <w:pPr>
        <w:spacing w:after="0" w:line="132" w:lineRule="exact"/>
        <w:rPr>
          <w:sz w:val="20"/>
          <w:szCs w:val="20"/>
          <w:color w:val="auto"/>
        </w:rPr>
      </w:pPr>
    </w:p>
    <w:p>
      <w:pPr>
        <w:jc w:val="both"/>
        <w:ind w:left="440"/>
        <w:spacing w:after="0" w:line="259" w:lineRule="auto"/>
        <w:rPr>
          <w:sz w:val="20"/>
          <w:szCs w:val="20"/>
          <w:color w:val="auto"/>
        </w:rPr>
      </w:pPr>
      <w:r>
        <w:rPr>
          <w:rFonts w:ascii="Arial" w:cs="Arial" w:eastAsia="Arial" w:hAnsi="Arial"/>
          <w:sz w:val="17"/>
          <w:szCs w:val="17"/>
          <w:color w:val="auto"/>
        </w:rPr>
        <w:t>To our knowledge, we are one of only two EDA/TCAD companies in the world that provide SIP to their customers. Unlike the non-EDA SIP companies, as an EDA company, we have open access to our own Analog Custom Design flow EDA software that we use for designing SIP for our customers. Further, we are commercializing silicon-proven SIP from our partners such as NXP that we believe improves our customers’ time to market compared to the SIP providers that have to create, qualify and verify their unproven designs. Finally, we have developed SIP tools that not only automate generation and characterization of some of our SIPs, but also have SIP management tools as our product that we utilize to manage our SIP and customer SIPs.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Growth Strategy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further our long-term growth and increase our market share, we have made initial investments in the following areas:</w:t>
      </w:r>
    </w:p>
    <w:p>
      <w:pPr>
        <w:spacing w:after="0" w:line="183" w:lineRule="exact"/>
        <w:rPr>
          <w:sz w:val="20"/>
          <w:szCs w:val="20"/>
          <w:color w:val="auto"/>
        </w:rPr>
      </w:pPr>
    </w:p>
    <w:p>
      <w:pPr>
        <w:jc w:val="both"/>
        <w:ind w:left="1080" w:hanging="325"/>
        <w:spacing w:after="0" w:line="260" w:lineRule="auto"/>
        <w:tabs>
          <w:tab w:leader="none" w:pos="10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Focus on large, growing markets where we have cemented ourselves as a reliable solutions provider</w:t>
      </w:r>
      <w:r>
        <w:rPr>
          <w:rFonts w:ascii="Arial" w:cs="Arial" w:eastAsia="Arial" w:hAnsi="Arial"/>
          <w:sz w:val="17"/>
          <w:szCs w:val="17"/>
          <w:color w:val="auto"/>
        </w:rPr>
        <w:t>. We seek to continue and</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presence in the display, automotive semiconductor, memory device and IoT markets by capitalizing on the growth of our existing customers.</w:t>
      </w:r>
    </w:p>
    <w:p>
      <w:pPr>
        <w:spacing w:after="0" w:line="1" w:lineRule="exact"/>
        <w:rPr>
          <w:rFonts w:ascii="Arial" w:cs="Arial" w:eastAsia="Arial" w:hAnsi="Arial"/>
          <w:sz w:val="17"/>
          <w:szCs w:val="17"/>
          <w:color w:val="auto"/>
        </w:rPr>
      </w:pPr>
    </w:p>
    <w:p>
      <w:pPr>
        <w:ind w:left="1080" w:right="20" w:hanging="325"/>
        <w:spacing w:after="0" w:line="248" w:lineRule="auto"/>
        <w:tabs>
          <w:tab w:leader="none" w:pos="108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Expand into established market segments</w:t>
      </w:r>
      <w:r>
        <w:rPr>
          <w:rFonts w:ascii="Arial" w:cs="Arial" w:eastAsia="Arial" w:hAnsi="Arial"/>
          <w:sz w:val="17"/>
          <w:szCs w:val="17"/>
          <w:color w:val="auto"/>
        </w:rPr>
        <w:t>. We plan to expand into established market segments, which include fin field-effect</w:t>
      </w:r>
      <w:r>
        <w:rPr>
          <w:rFonts w:ascii="Arial" w:cs="Arial" w:eastAsia="Arial" w:hAnsi="Arial"/>
          <w:sz w:val="17"/>
          <w:szCs w:val="17"/>
          <w:i w:val="1"/>
          <w:iCs w:val="1"/>
          <w:color w:val="auto"/>
        </w:rPr>
        <w:t xml:space="preserve"> </w:t>
      </w:r>
      <w:r>
        <w:rPr>
          <w:rFonts w:ascii="Arial" w:cs="Arial" w:eastAsia="Arial" w:hAnsi="Arial"/>
          <w:sz w:val="17"/>
          <w:szCs w:val="17"/>
          <w:color w:val="auto"/>
        </w:rPr>
        <w:t>transistor, or FinFET, and specialized SIP, fabrication process optimization, and photonics.</w:t>
      </w:r>
    </w:p>
    <w:p>
      <w:pPr>
        <w:spacing w:after="0" w:line="1" w:lineRule="exact"/>
        <w:rPr>
          <w:rFonts w:ascii="Arial" w:cs="Arial" w:eastAsia="Arial" w:hAnsi="Arial"/>
          <w:sz w:val="17"/>
          <w:szCs w:val="17"/>
          <w:color w:val="auto"/>
        </w:rPr>
      </w:pPr>
    </w:p>
    <w:p>
      <w:pPr>
        <w:jc w:val="both"/>
        <w:ind w:left="1080" w:hanging="325"/>
        <w:spacing w:after="0" w:line="259" w:lineRule="auto"/>
        <w:tabs>
          <w:tab w:leader="none" w:pos="10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our history of strategic acquisitions to accelerate growth and expand our market footprint. </w:t>
      </w:r>
      <w:r>
        <w:rPr>
          <w:rFonts w:ascii="Arial" w:cs="Arial" w:eastAsia="Arial" w:hAnsi="Arial"/>
          <w:sz w:val="17"/>
          <w:szCs w:val="17"/>
          <w:color w:val="auto"/>
        </w:rPr>
        <w:t>Historically, we have focused</w:t>
      </w:r>
      <w:r>
        <w:rPr>
          <w:rFonts w:ascii="Arial" w:cs="Arial" w:eastAsia="Arial" w:hAnsi="Arial"/>
          <w:sz w:val="17"/>
          <w:szCs w:val="17"/>
          <w:i w:val="1"/>
          <w:iCs w:val="1"/>
          <w:color w:val="auto"/>
        </w:rPr>
        <w:t xml:space="preserve"> </w:t>
      </w:r>
      <w:r>
        <w:rPr>
          <w:rFonts w:ascii="Arial" w:cs="Arial" w:eastAsia="Arial" w:hAnsi="Arial"/>
          <w:sz w:val="17"/>
          <w:szCs w:val="17"/>
          <w:color w:val="auto"/>
        </w:rPr>
        <w:t>on acquisitions that provide us with technology (e.g., Purdue Atomics simulation tools, commercialized under our Victory Atomistic tools), technical talent, and revenue in new markets. We intend to continue to target acquisitions that allow us to expand our solutions portfolio to better service our customers’ needs.</w:t>
      </w:r>
    </w:p>
    <w:p>
      <w:pPr>
        <w:spacing w:after="0" w:line="4" w:lineRule="exact"/>
        <w:rPr>
          <w:rFonts w:ascii="Arial" w:cs="Arial" w:eastAsia="Arial" w:hAnsi="Arial"/>
          <w:sz w:val="17"/>
          <w:szCs w:val="17"/>
          <w:color w:val="auto"/>
        </w:rPr>
      </w:pPr>
    </w:p>
    <w:p>
      <w:pPr>
        <w:jc w:val="both"/>
        <w:ind w:left="1080" w:hanging="325"/>
        <w:spacing w:after="0" w:line="253" w:lineRule="auto"/>
        <w:tabs>
          <w:tab w:leader="none" w:pos="108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Leverage our technology in TCAD, EDA, SIP, and SIP management software</w:t>
      </w:r>
      <w:r>
        <w:rPr>
          <w:rFonts w:ascii="Arial" w:cs="Arial" w:eastAsia="Arial" w:hAnsi="Arial"/>
          <w:sz w:val="17"/>
          <w:szCs w:val="17"/>
          <w:color w:val="auto"/>
        </w:rPr>
        <w:t>. We plan to continue to invest in the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that differentiates us and where we can establish or expand our leadership position, such as TCAD for display, power devices and photonics, simulation of large panels with complex device models, parasitic analysis and reduction, SIP management and fingerprinting, device characterization tools and services, and development of additional SIP.</w:t>
      </w:r>
    </w:p>
    <w:p>
      <w:pPr>
        <w:spacing w:after="0" w:line="1" w:lineRule="exact"/>
        <w:rPr>
          <w:rFonts w:ascii="Arial" w:cs="Arial" w:eastAsia="Arial" w:hAnsi="Arial"/>
          <w:sz w:val="17"/>
          <w:szCs w:val="17"/>
          <w:color w:val="auto"/>
        </w:rPr>
      </w:pPr>
    </w:p>
    <w:p>
      <w:pPr>
        <w:jc w:val="both"/>
        <w:ind w:left="1080" w:hanging="325"/>
        <w:spacing w:after="0" w:line="254" w:lineRule="auto"/>
        <w:tabs>
          <w:tab w:leader="none" w:pos="108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Optimize our competitive advantage by addressing unique customer needs</w:t>
      </w:r>
      <w:r>
        <w:rPr>
          <w:rFonts w:ascii="Arial" w:cs="Arial" w:eastAsia="Arial" w:hAnsi="Arial"/>
          <w:sz w:val="17"/>
          <w:szCs w:val="17"/>
          <w:color w:val="auto"/>
        </w:rPr>
        <w:t>. We pride ourselves on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agility, allowing us to design capabilities specific to customers’ requirements and, where appropriate, integrate those capabilities into our software solutions.</w:t>
      </w:r>
    </w:p>
    <w:p>
      <w:pPr>
        <w:jc w:val="both"/>
        <w:ind w:left="1080" w:hanging="325"/>
        <w:spacing w:after="0" w:line="248" w:lineRule="auto"/>
        <w:tabs>
          <w:tab w:leader="none" w:pos="107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Focus on a portfolio approach to the licensing and sale of our software platform</w:t>
      </w:r>
      <w:r>
        <w:rPr>
          <w:rFonts w:ascii="Arial" w:cs="Arial" w:eastAsia="Arial" w:hAnsi="Arial"/>
          <w:sz w:val="17"/>
          <w:szCs w:val="17"/>
          <w:color w:val="auto"/>
        </w:rPr>
        <w:t>. We seek to differentiate ourselves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breadth of our software and SIP offerings, addressing the full design cycle needs of our customers across applications and industries.</w:t>
      </w:r>
    </w:p>
    <w:p>
      <w:pPr>
        <w:spacing w:after="0" w:line="1" w:lineRule="exact"/>
        <w:rPr>
          <w:rFonts w:ascii="Arial" w:cs="Arial" w:eastAsia="Arial" w:hAnsi="Arial"/>
          <w:sz w:val="17"/>
          <w:szCs w:val="17"/>
          <w:color w:val="auto"/>
        </w:rPr>
      </w:pPr>
    </w:p>
    <w:p>
      <w:pPr>
        <w:ind w:left="1080" w:hanging="325"/>
        <w:spacing w:after="0" w:line="263" w:lineRule="auto"/>
        <w:tabs>
          <w:tab w:leader="none" w:pos="108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 our customer base through increased investment in sales and marketing. </w:t>
      </w:r>
      <w:r>
        <w:rPr>
          <w:rFonts w:ascii="Arial" w:cs="Arial" w:eastAsia="Arial" w:hAnsi="Arial"/>
          <w:sz w:val="17"/>
          <w:szCs w:val="17"/>
          <w:color w:val="auto"/>
        </w:rPr>
        <w:t>We believe our serviceable market is under</w:t>
      </w:r>
      <w:r>
        <w:rPr>
          <w:rFonts w:ascii="Arial" w:cs="Arial" w:eastAsia="Arial" w:hAnsi="Arial"/>
          <w:sz w:val="17"/>
          <w:szCs w:val="17"/>
          <w:i w:val="1"/>
          <w:iCs w:val="1"/>
          <w:color w:val="auto"/>
        </w:rPr>
        <w:t xml:space="preserve"> </w:t>
      </w:r>
      <w:r>
        <w:rPr>
          <w:rFonts w:ascii="Arial" w:cs="Arial" w:eastAsia="Arial" w:hAnsi="Arial"/>
          <w:sz w:val="17"/>
          <w:szCs w:val="17"/>
          <w:color w:val="auto"/>
        </w:rPr>
        <w:t>penetrated and that we can expand our customer base by increasing our marketing and sales resources.</w:t>
      </w:r>
    </w:p>
    <w:p>
      <w:pPr>
        <w:spacing w:after="0" w:line="1" w:lineRule="exact"/>
        <w:rPr>
          <w:rFonts w:ascii="Arial" w:cs="Arial" w:eastAsia="Arial" w:hAnsi="Arial"/>
          <w:sz w:val="17"/>
          <w:szCs w:val="17"/>
          <w:color w:val="auto"/>
        </w:rPr>
      </w:pPr>
    </w:p>
    <w:p>
      <w:pPr>
        <w:ind w:left="1080" w:right="20" w:hanging="325"/>
        <w:spacing w:after="0" w:line="301" w:lineRule="auto"/>
        <w:tabs>
          <w:tab w:leader="none" w:pos="108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Establish, maintain and expand relationships with key technology providers and academic partners</w:t>
      </w:r>
      <w:r>
        <w:rPr>
          <w:rFonts w:ascii="Arial" w:cs="Arial" w:eastAsia="Arial" w:hAnsi="Arial"/>
          <w:sz w:val="17"/>
          <w:szCs w:val="17"/>
          <w:color w:val="auto"/>
        </w:rPr>
        <w:t>. We maintain successful</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with SIP providers, foundries, design service companies, EDA companies,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20"/>
          </w:cols>
          <w:pgMar w:left="320" w:top="125" w:right="7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324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80"/>
        <w:spacing w:after="0" w:line="284" w:lineRule="auto"/>
        <w:rPr>
          <w:sz w:val="20"/>
          <w:szCs w:val="20"/>
          <w:color w:val="auto"/>
        </w:rPr>
      </w:pPr>
      <w:r>
        <w:rPr>
          <w:rFonts w:ascii="Arial" w:cs="Arial" w:eastAsia="Arial" w:hAnsi="Arial"/>
          <w:sz w:val="17"/>
          <w:szCs w:val="17"/>
          <w:color w:val="auto"/>
        </w:rPr>
        <w:t>our commercial customers and academia. We plan to continue to expand our ecosystem to maximize our reach, integrate into established flows and offer world-class solutions.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Products and Technology</w:t>
      </w:r>
    </w:p>
    <w:p>
      <w:pPr>
        <w:spacing w:after="0" w:line="18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We are a provider of TCAD software, EDA software and SIP, and also provide general engineering and research support to serve our target markets. Within our TCAD, EDA, and SIP product lines, we offer a multitude of products and offerings to efficiently develop new semiconductor processes and devices.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TCAD Solutions and Products</w:t>
      </w:r>
    </w:p>
    <w:p>
      <w:pPr>
        <w:spacing w:after="0" w:line="183" w:lineRule="exact"/>
        <w:rPr>
          <w:sz w:val="20"/>
          <w:szCs w:val="20"/>
          <w:color w:val="auto"/>
        </w:rPr>
      </w:pPr>
    </w:p>
    <w:p>
      <w:pPr>
        <w:jc w:val="both"/>
        <w:ind w:left="440"/>
        <w:spacing w:after="0" w:line="260" w:lineRule="auto"/>
        <w:rPr>
          <w:sz w:val="20"/>
          <w:szCs w:val="20"/>
          <w:color w:val="auto"/>
        </w:rPr>
      </w:pPr>
      <w:r>
        <w:rPr>
          <w:rFonts w:ascii="Arial" w:cs="Arial" w:eastAsia="Arial" w:hAnsi="Arial"/>
          <w:sz w:val="17"/>
          <w:szCs w:val="17"/>
          <w:color w:val="auto"/>
        </w:rPr>
        <w:t>TCAD software solutions, including our offerings, are used to help reduce the time and manufacturing cycles spent to develop semiconductor technologies and help reduce the costs during development cycles. TCAD is part of a design technology co-optimization, or DTCO, flow that is intended to improve designs across multiple domains (Layout, Process, Device, SPICE and RC extraction). Typical applications include:</w:t>
      </w:r>
    </w:p>
    <w:p>
      <w:pPr>
        <w:spacing w:after="0" w:line="138" w:lineRule="exact"/>
        <w:rPr>
          <w:sz w:val="20"/>
          <w:szCs w:val="20"/>
          <w:color w:val="auto"/>
        </w:rPr>
      </w:pPr>
    </w:p>
    <w:p>
      <w:pPr>
        <w:ind w:left="1080" w:hanging="325"/>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physical etch and deposition process simulation;</w:t>
      </w:r>
    </w:p>
    <w:p>
      <w:pPr>
        <w:spacing w:after="0" w:line="29" w:lineRule="exact"/>
        <w:rPr>
          <w:rFonts w:ascii="Arial" w:cs="Arial" w:eastAsia="Arial" w:hAnsi="Arial"/>
          <w:sz w:val="17"/>
          <w:szCs w:val="17"/>
          <w:color w:val="auto"/>
        </w:rPr>
      </w:pPr>
    </w:p>
    <w:p>
      <w:pPr>
        <w:ind w:left="1080" w:hanging="325"/>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calibration of doping profiles and metal oxide semiconductor, or MOS, bipolar transistors;</w:t>
      </w:r>
    </w:p>
    <w:p>
      <w:pPr>
        <w:spacing w:after="0" w:line="14" w:lineRule="exact"/>
        <w:rPr>
          <w:rFonts w:ascii="Arial" w:cs="Arial" w:eastAsia="Arial" w:hAnsi="Arial"/>
          <w:sz w:val="17"/>
          <w:szCs w:val="17"/>
          <w:color w:val="auto"/>
        </w:rPr>
      </w:pPr>
    </w:p>
    <w:p>
      <w:pPr>
        <w:ind w:left="1080" w:hanging="325"/>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modeled effects (including self-heating and thermal gradients for power device and thin-film transistor, or TFT);</w:t>
      </w:r>
    </w:p>
    <w:p>
      <w:pPr>
        <w:spacing w:after="0" w:line="7" w:lineRule="exact"/>
        <w:rPr>
          <w:rFonts w:ascii="Arial" w:cs="Arial" w:eastAsia="Arial" w:hAnsi="Arial"/>
          <w:sz w:val="17"/>
          <w:szCs w:val="17"/>
          <w:color w:val="auto"/>
        </w:rPr>
      </w:pPr>
    </w:p>
    <w:p>
      <w:pPr>
        <w:jc w:val="both"/>
        <w:ind w:left="1080" w:hanging="325"/>
        <w:spacing w:after="0" w:line="248" w:lineRule="auto"/>
        <w:tabs>
          <w:tab w:leader="none" w:pos="1075" w:val="left"/>
        </w:tabs>
        <w:numPr>
          <w:ilvl w:val="0"/>
          <w:numId w:val="7"/>
        </w:numPr>
        <w:rPr>
          <w:rFonts w:ascii="Arial" w:cs="Arial" w:eastAsia="Arial" w:hAnsi="Arial"/>
          <w:sz w:val="17"/>
          <w:szCs w:val="17"/>
          <w:color w:val="auto"/>
        </w:rPr>
      </w:pPr>
      <w:r>
        <w:rPr>
          <w:rFonts w:ascii="Arial" w:cs="Arial" w:eastAsia="Arial" w:hAnsi="Arial"/>
          <w:sz w:val="17"/>
          <w:szCs w:val="17"/>
          <w:color w:val="auto"/>
        </w:rPr>
        <w:t>photonics simulation for solar cell, charge-coupled device, or CCD, complementary metal oxide semiconductor image sensor, or CIS, TFT, liquid crystal display, or LCD and OLED using ray tracing, finite-difference time domain, or FDTD, and timing memory, or TMM;</w:t>
      </w:r>
    </w:p>
    <w:p>
      <w:pPr>
        <w:spacing w:after="0" w:line="1" w:lineRule="exact"/>
        <w:rPr>
          <w:rFonts w:ascii="Arial" w:cs="Arial" w:eastAsia="Arial" w:hAnsi="Arial"/>
          <w:sz w:val="17"/>
          <w:szCs w:val="17"/>
          <w:color w:val="auto"/>
        </w:rPr>
      </w:pPr>
    </w:p>
    <w:p>
      <w:pPr>
        <w:ind w:left="1080" w:hanging="325"/>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single event effect and total dose simulation; and</w:t>
      </w:r>
    </w:p>
    <w:p>
      <w:pPr>
        <w:spacing w:after="0" w:line="13" w:lineRule="exact"/>
        <w:rPr>
          <w:rFonts w:ascii="Arial" w:cs="Arial" w:eastAsia="Arial" w:hAnsi="Arial"/>
          <w:sz w:val="17"/>
          <w:szCs w:val="17"/>
          <w:color w:val="auto"/>
        </w:rPr>
      </w:pPr>
    </w:p>
    <w:p>
      <w:pPr>
        <w:ind w:left="1080" w:hanging="325"/>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stress simulation.</w:t>
      </w:r>
    </w:p>
    <w:p>
      <w:pPr>
        <w:spacing w:after="0" w:line="160"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7"/>
          <w:szCs w:val="17"/>
          <w:color w:val="auto"/>
        </w:rPr>
        <w:t>We also offer TCAD modeling services that provide a solution for customers who have unique semiconductor device modeling requirements, but do not have the time or resources to operate TCAD software in-house.</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EDA Software and Modeling Services</w:t>
      </w:r>
    </w:p>
    <w:p>
      <w:pPr>
        <w:spacing w:after="0" w:line="169" w:lineRule="exact"/>
        <w:rPr>
          <w:sz w:val="20"/>
          <w:szCs w:val="20"/>
          <w:color w:val="auto"/>
        </w:rPr>
      </w:pPr>
    </w:p>
    <w:p>
      <w:pPr>
        <w:jc w:val="both"/>
        <w:ind w:left="440"/>
        <w:spacing w:after="0" w:line="261" w:lineRule="auto"/>
        <w:rPr>
          <w:sz w:val="20"/>
          <w:szCs w:val="20"/>
          <w:color w:val="auto"/>
        </w:rPr>
      </w:pPr>
      <w:r>
        <w:rPr>
          <w:rFonts w:ascii="Arial" w:cs="Arial" w:eastAsia="Arial" w:hAnsi="Arial"/>
          <w:sz w:val="17"/>
          <w:szCs w:val="17"/>
          <w:color w:val="auto"/>
        </w:rPr>
        <w:t>Our EDA software solutions cover multiple areas of analog/mixed-signal/RF circuit simulation, custom IC CAD and interconnect modeling, including support for CMOS, bipolar, diode, junction-gate field-effect transistor, or JFET, silicon on insulator, or SOI, TFT, high-electron mobility transistor, or HEMT, insulated-gate bipolar transistor, or IGBT, resistor and capacitor models. We also provide complete SPICE modeling services for the semiconductor industry, ideally suited to either complement in-house SPICE modeling capabilities when time is critical, or to provide complete SPICE modeling services for occasional needs.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SIP and EDA Software and Design Services</w:t>
      </w:r>
    </w:p>
    <w:p>
      <w:pPr>
        <w:spacing w:after="0" w:line="18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We provide software that optimizes and re-targets standard cell libraries. Automated tools improve productivity by automating standard cell library designs that would otherwise need to be done manually, sometimes by tens of designers. In addition, we provide automated standard cell library characterization tools that replace manual and labor-intensive characterization of standard cells.</w:t>
      </w:r>
    </w:p>
    <w:p>
      <w:pPr>
        <w:spacing w:after="0" w:line="13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Our full-featured standard cell libraries have demonstrated maximal density and routing performance. As a standard feature, all industry standard views (circuit description language, or CDL netlist, library exchange front, or LEF, graphic data system II, or GDSII, Liberty, parasitic extraction, or PEX Spice netlist, Verilog, very high speed integrated circuit hardware description language, or VITAL, electronic design interchange format, or EDIF and others) are provided from a consistent database.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SIP Management Tools and SIP</w:t>
      </w:r>
    </w:p>
    <w:p>
      <w:pPr>
        <w:spacing w:after="0" w:line="183"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i w:val="1"/>
          <w:iCs w:val="1"/>
          <w:color w:val="auto"/>
        </w:rPr>
        <w:t xml:space="preserve">SIP and SoC Management Software. </w:t>
      </w:r>
      <w:r>
        <w:rPr>
          <w:rFonts w:ascii="Arial" w:cs="Arial" w:eastAsia="Arial" w:hAnsi="Arial"/>
          <w:sz w:val="17"/>
          <w:szCs w:val="17"/>
          <w:color w:val="auto"/>
        </w:rPr>
        <w:t>Our SIP and SoC Management Software (Xena) helps teams of designers to manage (release,</w:t>
      </w:r>
      <w:r>
        <w:rPr>
          <w:rFonts w:ascii="Arial" w:cs="Arial" w:eastAsia="Arial" w:hAnsi="Arial"/>
          <w:sz w:val="17"/>
          <w:szCs w:val="17"/>
          <w:i w:val="1"/>
          <w:iCs w:val="1"/>
          <w:color w:val="auto"/>
        </w:rPr>
        <w:t xml:space="preserve"> </w:t>
      </w:r>
      <w:r>
        <w:rPr>
          <w:rFonts w:ascii="Arial" w:cs="Arial" w:eastAsia="Arial" w:hAnsi="Arial"/>
          <w:sz w:val="17"/>
          <w:szCs w:val="17"/>
          <w:color w:val="auto"/>
        </w:rPr>
        <w:t>revision control and contracts) and collaborate amongst the internal team, the SIP providers, and customers. Xena also provides the ability for the team to authenticate SIP blocks from various providers and also authenticate and fingerprint the chip that utilize these SIP blocks to verify that the correct SIP is being used in an SoC.</w:t>
      </w:r>
    </w:p>
    <w:p>
      <w:pPr>
        <w:spacing w:after="0" w:line="132" w:lineRule="exact"/>
        <w:rPr>
          <w:sz w:val="20"/>
          <w:szCs w:val="20"/>
          <w:color w:val="auto"/>
        </w:rPr>
      </w:pPr>
    </w:p>
    <w:p>
      <w:pPr>
        <w:jc w:val="both"/>
        <w:ind w:left="440"/>
        <w:spacing w:after="0" w:line="284" w:lineRule="auto"/>
        <w:rPr>
          <w:sz w:val="20"/>
          <w:szCs w:val="20"/>
          <w:color w:val="auto"/>
        </w:rPr>
      </w:pPr>
      <w:r>
        <w:rPr>
          <w:rFonts w:ascii="Arial" w:cs="Arial" w:eastAsia="Arial" w:hAnsi="Arial"/>
          <w:sz w:val="17"/>
          <w:szCs w:val="17"/>
          <w:i w:val="1"/>
          <w:iCs w:val="1"/>
          <w:color w:val="auto"/>
        </w:rPr>
        <w:t xml:space="preserve">Silicon-Proven Soft IP Blocks. </w:t>
      </w:r>
      <w:r>
        <w:rPr>
          <w:rFonts w:ascii="Arial" w:cs="Arial" w:eastAsia="Arial" w:hAnsi="Arial"/>
          <w:sz w:val="17"/>
          <w:szCs w:val="17"/>
          <w:color w:val="auto"/>
        </w:rPr>
        <w:t>Our silicon-proven Soft IP blocks are embedded in SoCs and ICs in our targeted markets of automotive,</w:t>
      </w:r>
      <w:r>
        <w:rPr>
          <w:rFonts w:ascii="Arial" w:cs="Arial" w:eastAsia="Arial" w:hAnsi="Arial"/>
          <w:sz w:val="17"/>
          <w:szCs w:val="17"/>
          <w:i w:val="1"/>
          <w:iCs w:val="1"/>
          <w:color w:val="auto"/>
        </w:rPr>
        <w:t xml:space="preserve"> </w:t>
      </w:r>
      <w:r>
        <w:rPr>
          <w:rFonts w:ascii="Arial" w:cs="Arial" w:eastAsia="Arial" w:hAnsi="Arial"/>
          <w:sz w:val="17"/>
          <w:szCs w:val="17"/>
          <w:color w:val="auto"/>
        </w:rPr>
        <w:t>IoT, wireless and High-performance Computing.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20"/>
          </w:cols>
          <w:pgMar w:left="320" w:top="125" w:right="7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359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Risk Factors Summary</w:t>
      </w:r>
    </w:p>
    <w:p>
      <w:pPr>
        <w:spacing w:after="0" w:line="73" w:lineRule="exact"/>
        <w:rPr>
          <w:sz w:val="20"/>
          <w:szCs w:val="20"/>
          <w:color w:val="auto"/>
        </w:rPr>
      </w:pPr>
    </w:p>
    <w:p>
      <w:pPr>
        <w:jc w:val="both"/>
        <w:ind w:left="440"/>
        <w:spacing w:after="0" w:line="261" w:lineRule="auto"/>
        <w:rPr>
          <w:sz w:val="20"/>
          <w:szCs w:val="20"/>
          <w:color w:val="auto"/>
        </w:rPr>
      </w:pPr>
      <w:r>
        <w:rPr>
          <w:rFonts w:ascii="Arial" w:cs="Arial" w:eastAsia="Arial" w:hAnsi="Arial"/>
          <w:sz w:val="17"/>
          <w:szCs w:val="17"/>
          <w:color w:val="auto"/>
        </w:rPr>
        <w:t>There are a number of risks that you should consider before making an investment decision regarding this offering. These risks are discussed more fully in the section entitled “Risk Factors” following this prospectus summary. If any of these risks actually occur, our business, financial condition and results of operations could be materially and adversely affected. In such case, the trading price of our common stock would likely decline, and you may lose all or part of your investment. These risks include, but are not limited to, the following:</w:t>
      </w:r>
    </w:p>
    <w:p>
      <w:pPr>
        <w:spacing w:after="0" w:line="139" w:lineRule="exact"/>
        <w:rPr>
          <w:sz w:val="20"/>
          <w:szCs w:val="20"/>
          <w:color w:val="auto"/>
        </w:rPr>
      </w:pPr>
    </w:p>
    <w:p>
      <w:pPr>
        <w:ind w:left="1080" w:right="20" w:hanging="325"/>
        <w:spacing w:after="0" w:line="258"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significant competition from larger companies as well as from third-party providers who may deploy their resources to develop IP solutions internally.</w:t>
      </w:r>
    </w:p>
    <w:p>
      <w:pPr>
        <w:ind w:left="1080" w:hanging="325"/>
        <w:spacing w:after="0" w:line="252" w:lineRule="auto"/>
        <w:tabs>
          <w:tab w:leader="none" w:pos="1102"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operating results are subject to significant fluctuations and, as a result, period-to-period comparisons of our results of operations are not necessarily meaningful and should not be relied upon as indicators of future performance.</w:t>
      </w:r>
    </w:p>
    <w:p>
      <w:pPr>
        <w:ind w:left="1080" w:hanging="325"/>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quarterly results of operations may be difficult to predict as a result of seasonality.</w:t>
      </w:r>
    </w:p>
    <w:p>
      <w:pPr>
        <w:spacing w:after="0" w:line="14" w:lineRule="exact"/>
        <w:rPr>
          <w:rFonts w:ascii="Arial" w:cs="Arial" w:eastAsia="Arial" w:hAnsi="Arial"/>
          <w:sz w:val="17"/>
          <w:szCs w:val="17"/>
          <w:color w:val="auto"/>
        </w:rPr>
      </w:pPr>
    </w:p>
    <w:p>
      <w:pPr>
        <w:ind w:left="1080" w:hanging="325"/>
        <w:spacing w:after="0" w:line="248" w:lineRule="auto"/>
        <w:tabs>
          <w:tab w:leader="none" w:pos="1089"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Substantial, prolonged economic downturns in key industrial sectors and in major economic regions in which we operate may result in reduced software solutions sales and lower revenue growth.</w:t>
      </w:r>
    </w:p>
    <w:p>
      <w:pPr>
        <w:spacing w:after="0" w:line="1" w:lineRule="exact"/>
        <w:rPr>
          <w:rFonts w:ascii="Arial" w:cs="Arial" w:eastAsia="Arial" w:hAnsi="Arial"/>
          <w:sz w:val="17"/>
          <w:szCs w:val="17"/>
          <w:color w:val="auto"/>
        </w:rPr>
      </w:pPr>
    </w:p>
    <w:p>
      <w:pPr>
        <w:ind w:left="1080" w:right="20" w:hanging="325"/>
        <w:spacing w:after="0" w:line="252"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success of our business depends on sustaining or growing our software license revenue and our maintenance and service revenue and the failure to increase such revenue would lead to a material decline in our results of operations.</w:t>
      </w:r>
    </w:p>
    <w:p>
      <w:pPr>
        <w:ind w:left="1080" w:right="20" w:hanging="325"/>
        <w:spacing w:after="0" w:line="253" w:lineRule="auto"/>
        <w:tabs>
          <w:tab w:leader="none" w:pos="1089"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also depend on growth in the semiconductor and photonics industries and in the end markets that use our products. Any slowdown in the growth of these industries and end markets could harm our business.</w:t>
      </w:r>
    </w:p>
    <w:p>
      <w:pPr>
        <w:ind w:left="1080" w:right="20" w:hanging="325"/>
        <w:spacing w:after="0" w:line="248"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deliver new and innovative software solutions or software license enhancements ahead of rapid technological changes in the market, our revenues could be materially adversely affected.</w:t>
      </w:r>
    </w:p>
    <w:p>
      <w:pPr>
        <w:spacing w:after="0" w:line="1" w:lineRule="exact"/>
        <w:rPr>
          <w:rFonts w:ascii="Arial" w:cs="Arial" w:eastAsia="Arial" w:hAnsi="Arial"/>
          <w:sz w:val="17"/>
          <w:szCs w:val="17"/>
          <w:color w:val="auto"/>
        </w:rPr>
      </w:pPr>
    </w:p>
    <w:p>
      <w:pPr>
        <w:ind w:left="1080" w:hanging="325"/>
        <w:spacing w:after="0" w:line="256" w:lineRule="auto"/>
        <w:tabs>
          <w:tab w:leader="none" w:pos="1102"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have to invest more resources in research and development than anticipated, which could increase our operating expenses and negatively affect our operating results.</w:t>
      </w:r>
    </w:p>
    <w:p>
      <w:pPr>
        <w:spacing w:after="0" w:line="1" w:lineRule="exact"/>
        <w:rPr>
          <w:rFonts w:ascii="Arial" w:cs="Arial" w:eastAsia="Arial" w:hAnsi="Arial"/>
          <w:sz w:val="17"/>
          <w:szCs w:val="17"/>
          <w:color w:val="auto"/>
        </w:rPr>
      </w:pPr>
    </w:p>
    <w:p>
      <w:pPr>
        <w:jc w:val="both"/>
        <w:ind w:left="1080" w:hanging="325"/>
        <w:spacing w:after="0" w:line="248" w:lineRule="auto"/>
        <w:tabs>
          <w:tab w:leader="none" w:pos="1116"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international sales constitute a substantial portion of our revenue and could be negatively affected by disruptions in international geographies caused by government actions, trade disputes, direct or indirect acts of war or terrorism, international political or economic instability or other similar events.</w:t>
      </w:r>
    </w:p>
    <w:p>
      <w:pPr>
        <w:spacing w:after="0" w:line="1" w:lineRule="exact"/>
        <w:rPr>
          <w:rFonts w:ascii="Arial" w:cs="Arial" w:eastAsia="Arial" w:hAnsi="Arial"/>
          <w:sz w:val="17"/>
          <w:szCs w:val="17"/>
          <w:color w:val="auto"/>
        </w:rPr>
      </w:pPr>
    </w:p>
    <w:p>
      <w:pPr>
        <w:ind w:left="1080" w:right="20" w:hanging="325"/>
        <w:spacing w:after="0" w:line="252" w:lineRule="auto"/>
        <w:tabs>
          <w:tab w:leader="none" w:pos="1089"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substantial portion of our revenue comes from our international sales channels, and any adverse fluctuations in exchange rates could adversely affect our performance.</w:t>
      </w:r>
    </w:p>
    <w:p>
      <w:pPr>
        <w:ind w:left="1080" w:hanging="325"/>
        <w:spacing w:after="0" w:line="268"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protect our proprietary technology and inventions through patents and other intellectual property rights, our ability to compete successfully and our financial results could be adversely impacted.</w:t>
      </w:r>
    </w:p>
    <w:p>
      <w:pPr>
        <w:ind w:left="1080" w:hanging="325"/>
        <w:spacing w:after="0" w:line="258"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success depends on the interoperability of our software solutions with our customers’ intended use cases and with products and services of other companies, including our competitors.</w:t>
      </w:r>
    </w:p>
    <w:p>
      <w:pPr>
        <w:jc w:val="both"/>
        <w:ind w:left="1080" w:hanging="325"/>
        <w:spacing w:after="0" w:line="252" w:lineRule="auto"/>
        <w:tabs>
          <w:tab w:leader="none" w:pos="1089"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2" w:lineRule="exact"/>
        <w:rPr>
          <w:rFonts w:ascii="Arial" w:cs="Arial" w:eastAsia="Arial" w:hAnsi="Arial"/>
          <w:sz w:val="17"/>
          <w:szCs w:val="17"/>
          <w:color w:val="auto"/>
        </w:rPr>
      </w:pPr>
    </w:p>
    <w:p>
      <w:pPr>
        <w:jc w:val="both"/>
        <w:ind w:left="1080" w:hanging="325"/>
        <w:spacing w:after="0" w:line="248" w:lineRule="auto"/>
        <w:tabs>
          <w:tab w:leader="none" w:pos="1089"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realize the anticipated benefits of our acquisitions or investments, our business could be disrupted because of acquisitions or investments and we could use significant amounts of cash in connection with acquisitions and investments, depending on how we finance such acquisitions or investments.</w:t>
      </w:r>
    </w:p>
    <w:p>
      <w:pPr>
        <w:spacing w:after="0" w:line="1" w:lineRule="exact"/>
        <w:rPr>
          <w:rFonts w:ascii="Arial" w:cs="Arial" w:eastAsia="Arial" w:hAnsi="Arial"/>
          <w:sz w:val="17"/>
          <w:szCs w:val="17"/>
          <w:color w:val="auto"/>
        </w:rPr>
      </w:pPr>
    </w:p>
    <w:p>
      <w:pPr>
        <w:ind w:left="1080" w:hanging="325"/>
        <w:spacing w:after="0" w:line="256"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be able to continue to obtain licenses to third-party software and intellectual property on reasonable terms or at all, which may disrupt our business and harm our financial results.</w:t>
      </w:r>
    </w:p>
    <w:p>
      <w:pPr>
        <w:spacing w:after="0" w:line="1" w:lineRule="exact"/>
        <w:rPr>
          <w:rFonts w:ascii="Arial" w:cs="Arial" w:eastAsia="Arial" w:hAnsi="Arial"/>
          <w:sz w:val="17"/>
          <w:szCs w:val="17"/>
          <w:color w:val="auto"/>
        </w:rPr>
      </w:pPr>
    </w:p>
    <w:p>
      <w:pPr>
        <w:ind w:left="1080" w:hanging="325"/>
        <w:spacing w:after="0" w:line="248" w:lineRule="auto"/>
        <w:tabs>
          <w:tab w:leader="none" w:pos="1102"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dispute regarding our intellectual property may require us to indemnify customers, the cost of which could harm our business.</w:t>
      </w:r>
    </w:p>
    <w:p>
      <w:pPr>
        <w:spacing w:after="0" w:line="1" w:lineRule="exact"/>
        <w:rPr>
          <w:rFonts w:ascii="Arial" w:cs="Arial" w:eastAsia="Arial" w:hAnsi="Arial"/>
          <w:sz w:val="17"/>
          <w:szCs w:val="17"/>
          <w:color w:val="auto"/>
        </w:rPr>
      </w:pPr>
    </w:p>
    <w:p>
      <w:pPr>
        <w:ind w:left="1080" w:right="20" w:hanging="325"/>
        <w:spacing w:after="0" w:line="252" w:lineRule="auto"/>
        <w:tabs>
          <w:tab w:leader="none" w:pos="1075"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long as we are a controlled company, your ability to influence matters requiring stockholder approval will be limited, and the interests of our controlling shareholder may conflict with or differ from your interests as a stockholder.</w:t>
      </w:r>
    </w:p>
    <w:p>
      <w:pPr>
        <w:ind w:left="1080" w:hanging="325"/>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Pending or future investigations or litigation could have a material adverse effect on our results of operations and our stock price.</w:t>
      </w:r>
    </w:p>
    <w:p>
      <w:pPr>
        <w:spacing w:after="0" w:line="14" w:lineRule="exact"/>
        <w:rPr>
          <w:rFonts w:ascii="Arial" w:cs="Arial" w:eastAsia="Arial" w:hAnsi="Arial"/>
          <w:sz w:val="17"/>
          <w:szCs w:val="17"/>
          <w:color w:val="auto"/>
        </w:rPr>
      </w:pPr>
    </w:p>
    <w:p>
      <w:pPr>
        <w:jc w:val="both"/>
        <w:ind w:left="1080" w:hanging="325"/>
        <w:spacing w:after="0" w:line="254" w:lineRule="auto"/>
        <w:tabs>
          <w:tab w:leader="none" w:pos="1116"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common stock.</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73" w:lineRule="exact"/>
        <w:rPr>
          <w:sz w:val="20"/>
          <w:szCs w:val="20"/>
          <w:color w:val="auto"/>
        </w:rPr>
      </w:pPr>
    </w:p>
    <w:p>
      <w:pPr>
        <w:ind w:left="440" w:right="20"/>
        <w:spacing w:after="0" w:line="301" w:lineRule="auto"/>
        <w:rPr>
          <w:sz w:val="20"/>
          <w:szCs w:val="20"/>
          <w:color w:val="auto"/>
        </w:rPr>
      </w:pPr>
      <w:r>
        <w:rPr>
          <w:rFonts w:ascii="Arial" w:cs="Arial" w:eastAsia="Arial" w:hAnsi="Arial"/>
          <w:sz w:val="17"/>
          <w:szCs w:val="17"/>
          <w:color w:val="auto"/>
        </w:rPr>
        <w:t>As a company with less than $1.235 billion in revenue during our last fiscal year, we qualify as an “emerging growth company” as defined in the Jumpstart Our Business Startups Act of 2012, or the JOBS Act. An emerging growth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20"/>
          </w:cols>
          <w:pgMar w:left="320" w:top="125" w:right="75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6828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82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right="20"/>
        <w:spacing w:after="0" w:line="284" w:lineRule="auto"/>
        <w:rPr>
          <w:sz w:val="20"/>
          <w:szCs w:val="20"/>
          <w:color w:val="auto"/>
        </w:rPr>
      </w:pPr>
      <w:r>
        <w:rPr>
          <w:rFonts w:ascii="Arial" w:cs="Arial" w:eastAsia="Arial" w:hAnsi="Arial"/>
          <w:sz w:val="17"/>
          <w:szCs w:val="17"/>
          <w:color w:val="auto"/>
        </w:rPr>
        <w:t>company may take advantage of specified reduced reporting and other requirements that are otherwise applicable generally to public companies. These provisions include, but are not limited to:</w:t>
      </w:r>
    </w:p>
    <w:p>
      <w:pPr>
        <w:spacing w:after="0" w:line="118" w:lineRule="exact"/>
        <w:rPr>
          <w:sz w:val="20"/>
          <w:szCs w:val="20"/>
          <w:color w:val="auto"/>
        </w:rPr>
      </w:pPr>
    </w:p>
    <w:p>
      <w:pPr>
        <w:ind w:left="1080" w:hanging="325"/>
        <w:spacing w:after="0" w:line="258" w:lineRule="auto"/>
        <w:tabs>
          <w:tab w:leader="none" w:pos="1089" w:val="left"/>
        </w:tabs>
        <w:numPr>
          <w:ilvl w:val="0"/>
          <w:numId w:val="9"/>
        </w:numPr>
        <w:rPr>
          <w:rFonts w:ascii="Arial" w:cs="Arial" w:eastAsia="Arial" w:hAnsi="Arial"/>
          <w:sz w:val="17"/>
          <w:szCs w:val="17"/>
          <w:color w:val="auto"/>
        </w:rPr>
      </w:pPr>
      <w:r>
        <w:rPr>
          <w:rFonts w:ascii="Arial" w:cs="Arial" w:eastAsia="Arial" w:hAnsi="Arial"/>
          <w:sz w:val="17"/>
          <w:szCs w:val="17"/>
          <w:color w:val="auto"/>
        </w:rPr>
        <w:t>being permitted to include only two years of consolidated financial statements and only two years of related “Management’s Discussion and Analysis of Financial Condition and Results of Operations” disclosure in this prospectus;</w:t>
      </w:r>
    </w:p>
    <w:p>
      <w:pPr>
        <w:ind w:left="1080" w:right="20" w:hanging="325"/>
        <w:spacing w:after="0" w:line="256" w:lineRule="auto"/>
        <w:tabs>
          <w:tab w:leader="none" w:pos="10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exemption from compliance with the auditor attestation requirements of Section 404 of the Sarbanes-Oxley Act of 2002, as amended, or the Sarbanes-Oxley Act, on the design and effectiveness of our internal controls over financial reporting;</w:t>
      </w:r>
    </w:p>
    <w:p>
      <w:pPr>
        <w:spacing w:after="0" w:line="1" w:lineRule="exact"/>
        <w:rPr>
          <w:rFonts w:ascii="Arial" w:cs="Arial" w:eastAsia="Arial" w:hAnsi="Arial"/>
          <w:sz w:val="17"/>
          <w:szCs w:val="17"/>
          <w:color w:val="auto"/>
        </w:rPr>
      </w:pPr>
    </w:p>
    <w:p>
      <w:pPr>
        <w:jc w:val="both"/>
        <w:ind w:left="1080" w:hanging="325"/>
        <w:spacing w:after="0" w:line="248" w:lineRule="auto"/>
        <w:tabs>
          <w:tab w:leader="none" w:pos="10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the Public Company Accounting Oversight Board may adopt regarding mandatory audit firm rotation or a supplement to the auditor’s report providing additional information about the audit and financial statements;</w:t>
      </w:r>
    </w:p>
    <w:p>
      <w:pPr>
        <w:spacing w:after="0" w:line="1" w:lineRule="exact"/>
        <w:rPr>
          <w:rFonts w:ascii="Arial" w:cs="Arial" w:eastAsia="Arial" w:hAnsi="Arial"/>
          <w:sz w:val="17"/>
          <w:szCs w:val="17"/>
          <w:color w:val="auto"/>
        </w:rPr>
      </w:pPr>
    </w:p>
    <w:p>
      <w:pPr>
        <w:ind w:left="1080" w:hanging="325"/>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arrangements; and</w:t>
      </w:r>
    </w:p>
    <w:p>
      <w:pPr>
        <w:spacing w:after="0" w:line="13" w:lineRule="exact"/>
        <w:rPr>
          <w:rFonts w:ascii="Arial" w:cs="Arial" w:eastAsia="Arial" w:hAnsi="Arial"/>
          <w:sz w:val="17"/>
          <w:szCs w:val="17"/>
          <w:color w:val="auto"/>
        </w:rPr>
      </w:pPr>
    </w:p>
    <w:p>
      <w:pPr>
        <w:jc w:val="both"/>
        <w:ind w:left="1080" w:hanging="325"/>
        <w:spacing w:after="0" w:line="261" w:lineRule="auto"/>
        <w:tabs>
          <w:tab w:leader="none" w:pos="107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exemptions from the requirements of submitting certain executive compensation matters to stockholder advisory votes, such as “say-on-pay,” “say-on-frequency” and “say-on-golden parachutes,” and the correlation between executive compensation and performance and comparisons of the chief executive officer’s compensation to our median employee compensation.</w:t>
      </w:r>
    </w:p>
    <w:p>
      <w:pPr>
        <w:spacing w:after="0" w:line="137" w:lineRule="exact"/>
        <w:rPr>
          <w:sz w:val="20"/>
          <w:szCs w:val="20"/>
          <w:color w:val="auto"/>
        </w:rPr>
      </w:pPr>
    </w:p>
    <w:p>
      <w:pPr>
        <w:jc w:val="both"/>
        <w:ind w:left="440"/>
        <w:spacing w:after="0" w:line="260" w:lineRule="auto"/>
        <w:rPr>
          <w:sz w:val="20"/>
          <w:szCs w:val="20"/>
          <w:color w:val="auto"/>
        </w:rPr>
      </w:pPr>
      <w:r>
        <w:rPr>
          <w:rFonts w:ascii="Arial" w:cs="Arial" w:eastAsia="Arial" w:hAnsi="Arial"/>
          <w:sz w:val="17"/>
          <w:szCs w:val="17"/>
          <w:color w:val="auto"/>
        </w:rPr>
        <w:t>We have elected to take advantage of certain of these reduced disclosure obligations in the registration statement of which this prospectus is a part and may elect to take advantage of some or all of these reduced reporting and other requirements in the future. As a result, the information we provide to our stockholders may be different than the information you might receive from other public companies in which you hold equity interests.</w:t>
      </w:r>
    </w:p>
    <w:p>
      <w:pPr>
        <w:spacing w:after="0" w:line="138" w:lineRule="exact"/>
        <w:rPr>
          <w:sz w:val="20"/>
          <w:szCs w:val="20"/>
          <w:color w:val="auto"/>
        </w:rPr>
      </w:pPr>
    </w:p>
    <w:p>
      <w:pPr>
        <w:jc w:val="both"/>
        <w:ind w:left="440"/>
        <w:spacing w:after="0" w:line="257"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13(a) of the Securities Exchange Act of 1934, as amended, or the Exchange Act, for adopting new or revised accounting standards. As a result, we will be permitted to delay the adoption of new or revised accounting standards until such time as those standards would otherwise apply to private companies. We have elected to take advantage of this extended transition period for complying with new or revised accounting standards until the earlier of the date we (i) are no longer an emerging growth company; or (ii) affirmatively and irrevocably opt out of this extended transition period. As a result, our consolidated financial statements and the reported results of operations contained therein may not be directly comparable to those of other public companies.</w:t>
      </w:r>
    </w:p>
    <w:p>
      <w:pPr>
        <w:spacing w:after="0" w:line="141" w:lineRule="exact"/>
        <w:rPr>
          <w:sz w:val="20"/>
          <w:szCs w:val="20"/>
          <w:color w:val="auto"/>
        </w:rPr>
      </w:pPr>
    </w:p>
    <w:p>
      <w:pPr>
        <w:jc w:val="both"/>
        <w:ind w:left="440"/>
        <w:spacing w:after="0" w:line="256" w:lineRule="auto"/>
        <w:rPr>
          <w:sz w:val="20"/>
          <w:szCs w:val="20"/>
          <w:color w:val="auto"/>
        </w:rPr>
      </w:pPr>
      <w:r>
        <w:rPr>
          <w:rFonts w:ascii="Arial" w:cs="Arial" w:eastAsia="Arial" w:hAnsi="Arial"/>
          <w:sz w:val="17"/>
          <w:szCs w:val="17"/>
          <w:color w:val="auto"/>
        </w:rPr>
        <w:t>We may take advantage of the foregoing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$1.235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41" w:lineRule="exact"/>
        <w:rPr>
          <w:sz w:val="20"/>
          <w:szCs w:val="20"/>
          <w:color w:val="auto"/>
        </w:rPr>
      </w:pPr>
    </w:p>
    <w:p>
      <w:pPr>
        <w:jc w:val="both"/>
        <w:ind w:left="440"/>
        <w:spacing w:after="0" w:line="25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$700.0 million measured on the last business day of our second fiscal quarter.</w:t>
      </w:r>
    </w:p>
    <w:p>
      <w:pPr>
        <w:spacing w:after="0" w:line="138" w:lineRule="exact"/>
        <w:rPr>
          <w:sz w:val="20"/>
          <w:szCs w:val="20"/>
          <w:color w:val="auto"/>
        </w:rPr>
      </w:pPr>
    </w:p>
    <w:p>
      <w:pPr>
        <w:jc w:val="both"/>
        <w:ind w:left="440" w:right="20"/>
        <w:spacing w:after="0" w:line="284" w:lineRule="auto"/>
        <w:rPr>
          <w:sz w:val="20"/>
          <w:szCs w:val="20"/>
          <w:color w:val="auto"/>
        </w:rPr>
      </w:pPr>
      <w:r>
        <w:rPr>
          <w:rFonts w:ascii="Arial" w:cs="Arial" w:eastAsia="Arial" w:hAnsi="Arial"/>
          <w:sz w:val="17"/>
          <w:szCs w:val="17"/>
          <w:color w:val="auto"/>
        </w:rPr>
        <w:t>As a result, the information in this prospectus and that we provide to our investors in the future may be different than what you might receive from other public reporting companies.</w:t>
      </w:r>
    </w:p>
    <w:p>
      <w:pPr>
        <w:spacing w:after="0" w:line="118" w:lineRule="exact"/>
        <w:rPr>
          <w:sz w:val="20"/>
          <w:szCs w:val="20"/>
          <w:color w:val="auto"/>
        </w:rPr>
      </w:pPr>
    </w:p>
    <w:p>
      <w:pPr>
        <w:jc w:val="both"/>
        <w:ind w:left="440"/>
        <w:spacing w:after="0" w:line="266" w:lineRule="auto"/>
        <w:rPr>
          <w:sz w:val="20"/>
          <w:szCs w:val="20"/>
          <w:color w:val="auto"/>
        </w:rPr>
      </w:pPr>
      <w:r>
        <w:rPr>
          <w:rFonts w:ascii="Arial" w:cs="Arial" w:eastAsia="Arial" w:hAnsi="Arial"/>
          <w:sz w:val="17"/>
          <w:szCs w:val="17"/>
          <w:color w:val="auto"/>
        </w:rPr>
        <w:t>For risks related to our status as an emerging growth company and a smaller reporting company, see “Risk Factors—General Risk Factors and Risks Related to Being a Public Company—We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20"/>
          </w:cols>
          <w:pgMar w:left="320" w:top="125" w:right="7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1204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20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Corporate Information</w:t>
      </w:r>
    </w:p>
    <w:p>
      <w:pPr>
        <w:spacing w:after="0" w:line="73" w:lineRule="exact"/>
        <w:rPr>
          <w:sz w:val="20"/>
          <w:szCs w:val="20"/>
          <w:color w:val="auto"/>
        </w:rPr>
      </w:pPr>
    </w:p>
    <w:p>
      <w:pPr>
        <w:jc w:val="both"/>
        <w:ind w:left="440"/>
        <w:spacing w:after="0" w:line="261" w:lineRule="auto"/>
        <w:rPr>
          <w:sz w:val="20"/>
          <w:szCs w:val="20"/>
          <w:color w:val="auto"/>
        </w:rPr>
      </w:pPr>
      <w:r>
        <w:rPr>
          <w:rFonts w:ascii="Arial" w:cs="Arial" w:eastAsia="Arial" w:hAnsi="Arial"/>
          <w:sz w:val="17"/>
          <w:szCs w:val="17"/>
          <w:color w:val="auto"/>
        </w:rPr>
        <w:t>We were incorporated in Delaware in November 2009. Our principal executive offices are located at 4701 Patrick Henry Drive, Building #23, Santa Clara, CA 95054. Our telephone number is (408) 567-1000, and our website address is www.silvaco.com. The information contained on, or that can be accessed through, our website is not incorporated by reference in this prospectus and does not form a part of this prospectus. You should not consider information contained on our website to be part of this prospectus in deciding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20"/>
          </w:cols>
          <w:pgMar w:left="320" w:top="125" w:right="75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701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70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800"/>
          </w:cols>
          <w:pgMar w:left="320" w:top="125" w:right="779" w:bottom="1440" w:gutter="0" w:footer="0" w:header="0"/>
        </w:sectPr>
      </w:pPr>
    </w:p>
    <w:p>
      <w:pPr>
        <w:spacing w:after="0" w:line="3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Common stock offered by us</w:t>
      </w:r>
    </w:p>
    <w:p>
      <w:pPr>
        <w:spacing w:after="0" w:line="291" w:lineRule="exact"/>
        <w:rPr>
          <w:sz w:val="20"/>
          <w:szCs w:val="20"/>
          <w:color w:val="auto"/>
        </w:rPr>
      </w:pPr>
    </w:p>
    <w:p>
      <w:pPr>
        <w:ind w:left="440" w:right="880"/>
        <w:spacing w:after="0" w:line="632" w:lineRule="auto"/>
        <w:rPr>
          <w:sz w:val="20"/>
          <w:szCs w:val="20"/>
          <w:color w:val="auto"/>
        </w:rPr>
      </w:pPr>
      <w:r>
        <w:rPr>
          <w:rFonts w:ascii="Arial" w:cs="Arial" w:eastAsia="Arial" w:hAnsi="Arial"/>
          <w:sz w:val="17"/>
          <w:szCs w:val="17"/>
          <w:color w:val="auto"/>
        </w:rPr>
        <w:t>Option to purchase additional shares of common stock Common stock to be outstanding after this offering</w:t>
      </w:r>
    </w:p>
    <w:p>
      <w:pPr>
        <w:spacing w:after="0" w:line="3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Controlled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center"/>
        <w:ind w:right="1680"/>
        <w:spacing w:after="0"/>
        <w:rPr>
          <w:sz w:val="20"/>
          <w:szCs w:val="20"/>
          <w:color w:val="auto"/>
        </w:rPr>
      </w:pPr>
      <w:r>
        <w:rPr>
          <w:rFonts w:ascii="Arial" w:cs="Arial" w:eastAsia="Arial" w:hAnsi="Arial"/>
          <w:sz w:val="17"/>
          <w:szCs w:val="17"/>
          <w:color w:val="auto"/>
        </w:rPr>
        <w:t>shares of common stock.</w:t>
      </w:r>
    </w:p>
    <w:p>
      <w:pPr>
        <w:spacing w:after="0" w:line="291" w:lineRule="exact"/>
        <w:rPr>
          <w:sz w:val="20"/>
          <w:szCs w:val="20"/>
          <w:color w:val="auto"/>
        </w:rPr>
      </w:pPr>
    </w:p>
    <w:p>
      <w:pPr>
        <w:jc w:val="center"/>
        <w:ind w:right="1680"/>
        <w:spacing w:after="0"/>
        <w:rPr>
          <w:sz w:val="20"/>
          <w:szCs w:val="20"/>
          <w:color w:val="auto"/>
        </w:rPr>
      </w:pPr>
      <w:r>
        <w:rPr>
          <w:rFonts w:ascii="Arial" w:cs="Arial" w:eastAsia="Arial" w:hAnsi="Arial"/>
          <w:sz w:val="17"/>
          <w:szCs w:val="17"/>
          <w:color w:val="auto"/>
        </w:rPr>
        <w:t>shares of common stock.</w:t>
      </w:r>
    </w:p>
    <w:p>
      <w:pPr>
        <w:spacing w:after="0" w:line="291" w:lineRule="exact"/>
        <w:rPr>
          <w:sz w:val="20"/>
          <w:szCs w:val="20"/>
          <w:color w:val="auto"/>
        </w:rPr>
      </w:pPr>
    </w:p>
    <w:p>
      <w:pPr>
        <w:jc w:val="both"/>
        <w:ind w:firstLine="562"/>
        <w:spacing w:after="0" w:line="266" w:lineRule="auto"/>
        <w:rPr>
          <w:sz w:val="20"/>
          <w:szCs w:val="20"/>
          <w:color w:val="auto"/>
        </w:rPr>
      </w:pPr>
      <w:r>
        <w:rPr>
          <w:rFonts w:ascii="Arial" w:cs="Arial" w:eastAsia="Arial" w:hAnsi="Arial"/>
          <w:sz w:val="17"/>
          <w:szCs w:val="17"/>
          <w:color w:val="auto"/>
        </w:rPr>
        <w:t>shares of common stock ( shares of common stock if the underwriters exercise their option to purchase additional shares in full).</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highlight w:val="white"/>
        </w:rPr>
        <w:t>Upon completion of this offering, we will be a “controlled company” within the meaning of the listing rules of Nasdaq. After the closing of this offering, our controlling stockholder will control us and will have, among other things, the ability to approve or disapprove substantially all transactions and other matters requiring approval by stockholders, including the election of directors. See the section titled “Management —Director Independence and Controlled Company Exemption.”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to us from this offering will</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be approximately $ million (or approximately $ million if the underwriters exercise their option to purchase additional shares in full), based on an assumed initial public</w:t>
      </w:r>
    </w:p>
    <w:p>
      <w:pPr>
        <w:spacing w:after="0" w:line="1" w:lineRule="exact"/>
        <w:rPr>
          <w:sz w:val="20"/>
          <w:szCs w:val="20"/>
          <w:color w:val="auto"/>
        </w:rPr>
      </w:pPr>
    </w:p>
    <w:p>
      <w:pPr>
        <w:sectPr>
          <w:pgSz w:w="11900" w:h="16838" w:orient="portrait"/>
          <w:cols w:equalWidth="0" w:num="2">
            <w:col w:w="5460" w:space="720"/>
            <w:col w:w="4620"/>
          </w:cols>
          <w:pgMar w:left="320" w:top="125" w:right="779" w:bottom="1440" w:gutter="0" w:footer="0" w:header="0"/>
          <w:type w:val="continuous"/>
        </w:sectPr>
      </w:pPr>
    </w:p>
    <w:p>
      <w:pPr>
        <w:ind w:left="6180"/>
        <w:spacing w:after="0"/>
        <w:tabs>
          <w:tab w:leader="none" w:pos="8100" w:val="left"/>
        </w:tabs>
        <w:rPr>
          <w:sz w:val="20"/>
          <w:szCs w:val="20"/>
          <w:color w:val="auto"/>
        </w:rPr>
      </w:pPr>
      <w:r>
        <w:rPr>
          <w:rFonts w:ascii="Arial" w:cs="Arial" w:eastAsia="Arial" w:hAnsi="Arial"/>
          <w:sz w:val="17"/>
          <w:szCs w:val="17"/>
          <w:color w:val="auto"/>
        </w:rPr>
        <w:t>offering price of $</w:t>
      </w:r>
      <w:r>
        <w:rPr>
          <w:sz w:val="20"/>
          <w:szCs w:val="20"/>
          <w:color w:val="auto"/>
        </w:rPr>
        <w:tab/>
      </w:r>
      <w:r>
        <w:rPr>
          <w:rFonts w:ascii="Arial" w:cs="Arial" w:eastAsia="Arial" w:hAnsi="Arial"/>
          <w:sz w:val="17"/>
          <w:szCs w:val="17"/>
          <w:color w:val="auto"/>
        </w:rPr>
        <w:t>per share (the midpoint of the price</w:t>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range set forth on the cover page of this prospectus), and</w:t>
      </w:r>
    </w:p>
    <w:p>
      <w:pPr>
        <w:spacing w:after="0" w:line="7" w:lineRule="exact"/>
        <w:rPr>
          <w:sz w:val="20"/>
          <w:szCs w:val="20"/>
          <w:color w:val="auto"/>
        </w:rPr>
      </w:pPr>
    </w:p>
    <w:p>
      <w:pPr>
        <w:ind w:left="6180"/>
        <w:spacing w:after="0"/>
        <w:tabs>
          <w:tab w:leader="none" w:pos="6660" w:val="left"/>
          <w:tab w:leader="none" w:pos="7580" w:val="left"/>
          <w:tab w:leader="none" w:pos="8500" w:val="left"/>
          <w:tab w:leader="none" w:pos="9600" w:val="left"/>
          <w:tab w:leader="none" w:pos="10480" w:val="left"/>
        </w:tabs>
        <w:rPr>
          <w:sz w:val="20"/>
          <w:szCs w:val="20"/>
          <w:color w:val="auto"/>
        </w:rPr>
      </w:pPr>
      <w:r>
        <w:rPr>
          <w:rFonts w:ascii="Arial" w:cs="Arial" w:eastAsia="Arial" w:hAnsi="Arial"/>
          <w:sz w:val="17"/>
          <w:szCs w:val="17"/>
          <w:color w:val="auto"/>
        </w:rPr>
        <w:t>after</w:t>
        <w:tab/>
        <w:t>deducting</w:t>
        <w:tab/>
        <w:t>estimated</w:t>
        <w:tab/>
        <w:t>underwriting</w:t>
        <w:tab/>
        <w:t>discounts</w:t>
        <w:tab/>
        <w:t>and</w:t>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commissions and estimated offering expenses payable by</w:t>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us.</w:t>
      </w:r>
    </w:p>
    <w:p>
      <w:pPr>
        <w:spacing w:after="0" w:line="16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We intend to use the net proceeds from this offering primarily</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for general corporate purposes, including working capital,</w:t>
      </w:r>
    </w:p>
    <w:p>
      <w:pPr>
        <w:ind w:left="6180"/>
        <w:spacing w:after="0"/>
        <w:tabs>
          <w:tab w:leader="none" w:pos="6800" w:val="left"/>
          <w:tab w:leader="none" w:pos="7240" w:val="left"/>
          <w:tab w:leader="none" w:pos="8140" w:val="left"/>
          <w:tab w:leader="none" w:pos="9000" w:val="left"/>
          <w:tab w:leader="none" w:pos="9740" w:val="left"/>
        </w:tabs>
        <w:rPr>
          <w:sz w:val="20"/>
          <w:szCs w:val="20"/>
          <w:color w:val="auto"/>
        </w:rPr>
      </w:pPr>
      <w:r>
        <w:rPr>
          <w:rFonts w:ascii="Arial" w:cs="Arial" w:eastAsia="Arial" w:hAnsi="Arial"/>
          <w:sz w:val="17"/>
          <w:szCs w:val="17"/>
          <w:color w:val="auto"/>
        </w:rPr>
        <w:t>selling</w:t>
        <w:tab/>
        <w:t>and</w:t>
        <w:tab/>
        <w:t>marketing</w:t>
        <w:tab/>
        <w:t>activities,</w:t>
        <w:tab/>
        <w:t>product</w:t>
      </w:r>
      <w:r>
        <w:rPr>
          <w:sz w:val="20"/>
          <w:szCs w:val="20"/>
          <w:color w:val="auto"/>
        </w:rPr>
        <w:tab/>
      </w:r>
      <w:r>
        <w:rPr>
          <w:rFonts w:ascii="Arial" w:cs="Arial" w:eastAsia="Arial" w:hAnsi="Arial"/>
          <w:sz w:val="16"/>
          <w:szCs w:val="16"/>
          <w:color w:val="auto"/>
        </w:rPr>
        <w:t>development,</w:t>
      </w:r>
    </w:p>
    <w:p>
      <w:pPr>
        <w:ind w:left="6180"/>
        <w:spacing w:after="0" w:line="232" w:lineRule="auto"/>
        <w:tabs>
          <w:tab w:leader="none" w:pos="6880" w:val="left"/>
          <w:tab w:leader="none" w:pos="7300" w:val="left"/>
          <w:tab w:leader="none" w:pos="8520" w:val="left"/>
          <w:tab w:leader="none" w:pos="9280" w:val="left"/>
          <w:tab w:leader="none" w:pos="9680" w:val="left"/>
          <w:tab w:leader="none" w:pos="10620" w:val="left"/>
        </w:tabs>
        <w:rPr>
          <w:sz w:val="20"/>
          <w:szCs w:val="20"/>
          <w:color w:val="auto"/>
        </w:rPr>
      </w:pPr>
      <w:r>
        <w:rPr>
          <w:rFonts w:ascii="Arial" w:cs="Arial" w:eastAsia="Arial" w:hAnsi="Arial"/>
          <w:sz w:val="17"/>
          <w:szCs w:val="17"/>
          <w:color w:val="auto"/>
        </w:rPr>
        <w:t>general</w:t>
        <w:tab/>
        <w:t>and</w:t>
        <w:tab/>
        <w:t>administrative</w:t>
        <w:tab/>
        <w:t>matters,</w:t>
        <w:tab/>
        <w:t>the</w:t>
        <w:tab/>
        <w:t>repayment</w:t>
        <w:tab/>
        <w:t>of</w:t>
      </w:r>
    </w:p>
    <w:p>
      <w:pPr>
        <w:ind w:left="6180"/>
        <w:spacing w:after="0" w:line="232" w:lineRule="auto"/>
        <w:rPr>
          <w:sz w:val="20"/>
          <w:szCs w:val="20"/>
          <w:color w:val="auto"/>
        </w:rPr>
      </w:pPr>
      <w:r>
        <w:rPr>
          <w:rFonts w:ascii="Arial" w:cs="Arial" w:eastAsia="Arial" w:hAnsi="Arial"/>
          <w:sz w:val="17"/>
          <w:szCs w:val="17"/>
          <w:color w:val="auto"/>
        </w:rPr>
        <w:t>outstanding debt, and capital expenditures, although we do</w:t>
      </w:r>
    </w:p>
    <w:p>
      <w:pPr>
        <w:ind w:left="6180"/>
        <w:spacing w:after="0" w:line="232" w:lineRule="auto"/>
        <w:rPr>
          <w:sz w:val="20"/>
          <w:szCs w:val="20"/>
          <w:color w:val="auto"/>
        </w:rPr>
      </w:pPr>
      <w:r>
        <w:rPr>
          <w:rFonts w:ascii="Arial" w:cs="Arial" w:eastAsia="Arial" w:hAnsi="Arial"/>
          <w:sz w:val="17"/>
          <w:szCs w:val="17"/>
          <w:color w:val="auto"/>
        </w:rPr>
        <w:t>not currently have any specific or preliminary plans with</w:t>
      </w:r>
    </w:p>
    <w:p>
      <w:pPr>
        <w:ind w:left="6180"/>
        <w:spacing w:after="0"/>
        <w:rPr>
          <w:sz w:val="20"/>
          <w:szCs w:val="20"/>
          <w:color w:val="auto"/>
        </w:rPr>
      </w:pPr>
      <w:r>
        <w:rPr>
          <w:rFonts w:ascii="Arial" w:cs="Arial" w:eastAsia="Arial" w:hAnsi="Arial"/>
          <w:sz w:val="17"/>
          <w:szCs w:val="17"/>
          <w:color w:val="auto"/>
        </w:rPr>
        <w:t>respect to use of proceeds for such purposes. We also</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intend to use a portion of the net proceeds from this offering</w:t>
      </w:r>
    </w:p>
    <w:p>
      <w:pPr>
        <w:ind w:left="6180"/>
        <w:spacing w:after="0" w:line="232" w:lineRule="auto"/>
        <w:rPr>
          <w:sz w:val="20"/>
          <w:szCs w:val="20"/>
          <w:color w:val="auto"/>
        </w:rPr>
      </w:pPr>
      <w:r>
        <w:rPr>
          <w:rFonts w:ascii="Arial" w:cs="Arial" w:eastAsia="Arial" w:hAnsi="Arial"/>
          <w:sz w:val="17"/>
          <w:szCs w:val="17"/>
          <w:color w:val="auto"/>
        </w:rPr>
        <w:t>to repay our outstanding $0.5 million promissory note, or the</w:t>
      </w:r>
    </w:p>
    <w:p>
      <w:pPr>
        <w:ind w:left="6180"/>
        <w:spacing w:after="0" w:line="232" w:lineRule="auto"/>
        <w:rPr>
          <w:sz w:val="20"/>
          <w:szCs w:val="20"/>
          <w:color w:val="auto"/>
        </w:rPr>
      </w:pPr>
      <w:r>
        <w:rPr>
          <w:rFonts w:ascii="Arial" w:cs="Arial" w:eastAsia="Arial" w:hAnsi="Arial"/>
          <w:sz w:val="17"/>
          <w:szCs w:val="17"/>
          <w:color w:val="auto"/>
        </w:rPr>
        <w:t>March 2022 Loan, and our outstanding $4.0 million line of</w:t>
      </w:r>
    </w:p>
    <w:p>
      <w:pPr>
        <w:ind w:left="6180"/>
        <w:spacing w:after="0" w:line="232" w:lineRule="auto"/>
        <w:rPr>
          <w:sz w:val="20"/>
          <w:szCs w:val="20"/>
          <w:color w:val="auto"/>
        </w:rPr>
      </w:pPr>
      <w:r>
        <w:rPr>
          <w:rFonts w:ascii="Arial" w:cs="Arial" w:eastAsia="Arial" w:hAnsi="Arial"/>
          <w:sz w:val="17"/>
          <w:szCs w:val="17"/>
          <w:color w:val="auto"/>
        </w:rPr>
        <w:t>credit, or the 2022 Credit Line, from which we have drawn</w:t>
      </w:r>
    </w:p>
    <w:p>
      <w:pPr>
        <w:ind w:left="6180"/>
        <w:spacing w:after="0" w:line="232" w:lineRule="auto"/>
        <w:rPr>
          <w:sz w:val="20"/>
          <w:szCs w:val="20"/>
          <w:color w:val="auto"/>
        </w:rPr>
      </w:pPr>
      <w:r>
        <w:rPr>
          <w:rFonts w:ascii="Arial" w:cs="Arial" w:eastAsia="Arial" w:hAnsi="Arial"/>
          <w:sz w:val="17"/>
          <w:szCs w:val="17"/>
          <w:color w:val="auto"/>
        </w:rPr>
        <w:t>down $2.0 million as of September 30, 2022, each payable</w:t>
      </w:r>
    </w:p>
    <w:p>
      <w:pPr>
        <w:ind w:left="6180"/>
        <w:spacing w:after="0"/>
        <w:rPr>
          <w:sz w:val="20"/>
          <w:szCs w:val="20"/>
          <w:color w:val="auto"/>
        </w:rPr>
      </w:pPr>
      <w:r>
        <w:rPr>
          <w:rFonts w:ascii="Arial" w:cs="Arial" w:eastAsia="Arial" w:hAnsi="Arial"/>
          <w:sz w:val="17"/>
          <w:szCs w:val="17"/>
          <w:color w:val="auto"/>
        </w:rPr>
        <w:t>to Katherine S. Ngai-Pesic, our controlling stockholder and</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the chair of our board of directors, or Ms. Ngai-Pesic. We</w:t>
      </w:r>
    </w:p>
    <w:p>
      <w:pPr>
        <w:ind w:left="6180"/>
        <w:spacing w:after="0" w:line="232" w:lineRule="auto"/>
        <w:rPr>
          <w:sz w:val="20"/>
          <w:szCs w:val="20"/>
          <w:color w:val="auto"/>
        </w:rPr>
      </w:pPr>
      <w:r>
        <w:rPr>
          <w:rFonts w:ascii="Arial" w:cs="Arial" w:eastAsia="Arial" w:hAnsi="Arial"/>
          <w:sz w:val="17"/>
          <w:szCs w:val="17"/>
          <w:color w:val="auto"/>
        </w:rPr>
        <w:t>also may use a portion of the net proceeds to acquire</w:t>
      </w:r>
    </w:p>
    <w:p>
      <w:pPr>
        <w:ind w:left="6180"/>
        <w:spacing w:after="0"/>
        <w:tabs>
          <w:tab w:leader="none" w:pos="7580" w:val="left"/>
          <w:tab w:leader="none" w:pos="8720" w:val="left"/>
          <w:tab w:leader="none" w:pos="9680" w:val="left"/>
          <w:tab w:leader="none" w:pos="10620" w:val="left"/>
        </w:tabs>
        <w:rPr>
          <w:sz w:val="20"/>
          <w:szCs w:val="20"/>
          <w:color w:val="auto"/>
        </w:rPr>
      </w:pPr>
      <w:r>
        <w:rPr>
          <w:rFonts w:ascii="Arial" w:cs="Arial" w:eastAsia="Arial" w:hAnsi="Arial"/>
          <w:sz w:val="17"/>
          <w:szCs w:val="17"/>
          <w:color w:val="auto"/>
        </w:rPr>
        <w:t>complementary</w:t>
        <w:tab/>
        <w:t>businesses,</w:t>
        <w:tab/>
        <w:t>products,</w:t>
        <w:tab/>
        <w:t>services,</w:t>
      </w:r>
      <w:r>
        <w:rPr>
          <w:sz w:val="20"/>
          <w:szCs w:val="20"/>
          <w:color w:val="auto"/>
        </w:rPr>
        <w:tab/>
      </w:r>
      <w:r>
        <w:rPr>
          <w:rFonts w:ascii="Arial" w:cs="Arial" w:eastAsia="Arial" w:hAnsi="Arial"/>
          <w:sz w:val="15"/>
          <w:szCs w:val="15"/>
          <w:color w:val="auto"/>
        </w:rPr>
        <w:t>or</w:t>
      </w:r>
    </w:p>
    <w:p>
      <w:pPr>
        <w:ind w:left="6180"/>
        <w:spacing w:after="0" w:line="232" w:lineRule="auto"/>
        <w:rPr>
          <w:sz w:val="20"/>
          <w:szCs w:val="20"/>
          <w:color w:val="auto"/>
        </w:rPr>
      </w:pPr>
      <w:r>
        <w:rPr>
          <w:rFonts w:ascii="Arial" w:cs="Arial" w:eastAsia="Arial" w:hAnsi="Arial"/>
          <w:sz w:val="17"/>
          <w:szCs w:val="17"/>
          <w:color w:val="auto"/>
        </w:rPr>
        <w:t>technologies.  However,  we  do  not  have  agreements  or</w:t>
      </w:r>
    </w:p>
    <w:p>
      <w:pPr>
        <w:ind w:left="6180"/>
        <w:spacing w:after="0" w:line="232" w:lineRule="auto"/>
        <w:rPr>
          <w:sz w:val="20"/>
          <w:szCs w:val="20"/>
          <w:color w:val="auto"/>
        </w:rPr>
      </w:pPr>
      <w:r>
        <w:rPr>
          <w:rFonts w:ascii="Arial" w:cs="Arial" w:eastAsia="Arial" w:hAnsi="Arial"/>
          <w:sz w:val="17"/>
          <w:szCs w:val="17"/>
          <w:color w:val="auto"/>
        </w:rPr>
        <w:t>commitments for any specific acquisitions at this time. See</w:t>
      </w:r>
    </w:p>
    <w:p>
      <w:pPr>
        <w:ind w:left="6180"/>
        <w:spacing w:after="0"/>
        <w:rPr>
          <w:sz w:val="20"/>
          <w:szCs w:val="20"/>
          <w:color w:val="auto"/>
        </w:rPr>
      </w:pPr>
      <w:r>
        <w:rPr>
          <w:rFonts w:ascii="Arial" w:cs="Arial" w:eastAsia="Arial" w:hAnsi="Arial"/>
          <w:sz w:val="17"/>
          <w:szCs w:val="17"/>
          <w:color w:val="auto"/>
        </w:rPr>
        <w:t>“Use of Proceeds.”</w:t>
      </w:r>
    </w:p>
    <w:p>
      <w:pPr>
        <w:spacing w:after="0" w:line="99" w:lineRule="exact"/>
        <w:rPr>
          <w:sz w:val="20"/>
          <w:szCs w:val="20"/>
          <w:color w:val="auto"/>
        </w:rPr>
      </w:pPr>
    </w:p>
    <w:p>
      <w:pPr>
        <w:ind w:left="440"/>
        <w:spacing w:after="0"/>
        <w:tabs>
          <w:tab w:leader="none" w:pos="6160" w:val="left"/>
        </w:tabs>
        <w:rPr>
          <w:sz w:val="20"/>
          <w:szCs w:val="20"/>
          <w:color w:val="auto"/>
        </w:rPr>
      </w:pPr>
      <w:r>
        <w:rPr>
          <w:rFonts w:ascii="Arial" w:cs="Arial" w:eastAsia="Arial" w:hAnsi="Arial"/>
          <w:sz w:val="17"/>
          <w:szCs w:val="17"/>
          <w:color w:val="auto"/>
        </w:rPr>
        <w:t>Risk factors</w:t>
      </w:r>
      <w:r>
        <w:rPr>
          <w:sz w:val="20"/>
          <w:szCs w:val="20"/>
          <w:color w:val="auto"/>
        </w:rPr>
        <w:tab/>
      </w:r>
      <w:r>
        <w:rPr>
          <w:rFonts w:ascii="Arial" w:cs="Arial" w:eastAsia="Arial" w:hAnsi="Arial"/>
          <w:sz w:val="17"/>
          <w:szCs w:val="17"/>
          <w:color w:val="auto"/>
        </w:rPr>
        <w:t>You should read the section titled “Risk Factors” and the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other information included in this prospectus for a discussion</w:t>
      </w:r>
    </w:p>
    <w:p>
      <w:pPr>
        <w:spacing w:after="0" w:line="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of certain factors to consider carefully before deciding to</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purchase any shares of our common stock.</w:t>
      </w:r>
    </w:p>
    <w:p>
      <w:pPr>
        <w:spacing w:after="0" w:line="106" w:lineRule="exact"/>
        <w:rPr>
          <w:sz w:val="20"/>
          <w:szCs w:val="20"/>
          <w:color w:val="auto"/>
        </w:rPr>
      </w:pPr>
    </w:p>
    <w:p>
      <w:pPr>
        <w:ind w:left="440"/>
        <w:spacing w:after="0"/>
        <w:tabs>
          <w:tab w:leader="none" w:pos="6160" w:val="left"/>
        </w:tabs>
        <w:rPr>
          <w:sz w:val="20"/>
          <w:szCs w:val="20"/>
          <w:color w:val="auto"/>
        </w:rPr>
      </w:pPr>
      <w:r>
        <w:rPr>
          <w:rFonts w:ascii="Arial" w:cs="Arial" w:eastAsia="Arial" w:hAnsi="Arial"/>
          <w:sz w:val="17"/>
          <w:szCs w:val="17"/>
          <w:color w:val="auto"/>
        </w:rPr>
        <w:t>Proposed Nasdaq trading symbol</w:t>
      </w:r>
      <w:r>
        <w:rPr>
          <w:sz w:val="20"/>
          <w:szCs w:val="20"/>
          <w:color w:val="auto"/>
        </w:rPr>
        <w:tab/>
      </w:r>
      <w:r>
        <w:rPr>
          <w:rFonts w:ascii="Arial" w:cs="Arial" w:eastAsia="Arial" w:hAnsi="Arial"/>
          <w:sz w:val="16"/>
          <w:szCs w:val="16"/>
          <w:color w:val="auto"/>
        </w:rPr>
        <w:t>“SIVC”</w:t>
      </w:r>
    </w:p>
    <w:p>
      <w:pPr>
        <w:sectPr>
          <w:pgSz w:w="11900" w:h="16838" w:orient="portrait"/>
          <w:cols w:equalWidth="0" w:num="1">
            <w:col w:w="10800"/>
          </w:cols>
          <w:pgMar w:left="320" w:top="12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00"/>
          </w:cols>
          <w:pgMar w:left="320" w:top="125" w:right="7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3733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373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right="20"/>
        <w:spacing w:after="0" w:line="284" w:lineRule="auto"/>
        <w:rPr>
          <w:sz w:val="20"/>
          <w:szCs w:val="20"/>
          <w:color w:val="auto"/>
        </w:rPr>
      </w:pPr>
      <w:r>
        <w:rPr>
          <w:rFonts w:ascii="Arial" w:cs="Arial" w:eastAsia="Arial" w:hAnsi="Arial"/>
          <w:sz w:val="17"/>
          <w:szCs w:val="17"/>
          <w:color w:val="auto"/>
        </w:rPr>
        <w:t>Unless otherwise indicated, the number of shares of our common stock to be outstanding after this offering is based on 40,000,000 shares of common stock outstanding as of September 30, 2022, and excludes:</w:t>
      </w:r>
    </w:p>
    <w:p>
      <w:pPr>
        <w:spacing w:after="0" w:line="118" w:lineRule="exact"/>
        <w:rPr>
          <w:sz w:val="20"/>
          <w:szCs w:val="20"/>
          <w:color w:val="auto"/>
        </w:rPr>
      </w:pPr>
    </w:p>
    <w:p>
      <w:pPr>
        <w:jc w:val="both"/>
        <w:ind w:left="1080" w:hanging="325"/>
        <w:spacing w:after="0" w:line="257" w:lineRule="auto"/>
        <w:tabs>
          <w:tab w:leader="none" w:pos="18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our common stock subject to the settlement of restricted stock units, or RSUs, outstanding as of September 30, 2022 granted under our 2014 Stock Incentive Plan, or the 2014 Plan, for which the liquidity-based vesting condition, or the Liquidity Event Requirement, will be satisfied upon the completion of this offering, but for which the time-based vesting condition, or the Time-Based Requirement, will not be satisfied on or before the date of this offering;</w:t>
      </w:r>
    </w:p>
    <w:p>
      <w:pPr>
        <w:spacing w:after="0" w:line="2" w:lineRule="exact"/>
        <w:rPr>
          <w:rFonts w:ascii="Arial" w:cs="Arial" w:eastAsia="Arial" w:hAnsi="Arial"/>
          <w:sz w:val="17"/>
          <w:szCs w:val="17"/>
          <w:color w:val="auto"/>
        </w:rPr>
      </w:pPr>
    </w:p>
    <w:p>
      <w:pPr>
        <w:jc w:val="both"/>
        <w:ind w:left="1080" w:hanging="325"/>
        <w:spacing w:after="0" w:line="235" w:lineRule="auto"/>
        <w:tabs>
          <w:tab w:leader="none" w:pos="17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shares of our common stock reserved for future issuance under our 2023 Stock Incentive Plan, or the 2023 Plan, which will become effective as of immediately prior to the completion of this offering, as well as any automatic increases in the number of shares of common stock reserved for future issuance under the 2023 Plan </w:t>
      </w:r>
      <w:r>
        <w:rPr>
          <w:rFonts w:ascii="Arial" w:cs="Arial" w:eastAsia="Arial" w:hAnsi="Arial"/>
          <w:sz w:val="17"/>
          <w:szCs w:val="17"/>
          <w:color w:val="auto"/>
          <w:highlight w:val="white"/>
        </w:rPr>
        <w:t>and any reserved shares not issued or subject to</w:t>
      </w:r>
      <w:r>
        <w:rPr>
          <w:rFonts w:ascii="Arial" w:cs="Arial" w:eastAsia="Arial" w:hAnsi="Arial"/>
          <w:sz w:val="17"/>
          <w:szCs w:val="17"/>
          <w:color w:val="auto"/>
        </w:rPr>
        <w:t xml:space="preserve"> </w:t>
      </w:r>
      <w:r>
        <w:rPr>
          <w:rFonts w:ascii="Arial" w:cs="Arial" w:eastAsia="Arial" w:hAnsi="Arial"/>
          <w:sz w:val="17"/>
          <w:szCs w:val="17"/>
          <w:color w:val="auto"/>
          <w:highlight w:val="white"/>
        </w:rPr>
        <w:t>outstanding awards under the 2014 Plan after the effective date of the 2023 Plan that are subsequently forfeited or terminated, all of which shares shall become available for issuance under the 2023 Plan</w:t>
      </w:r>
      <w:r>
        <w:rPr>
          <w:rFonts w:ascii="Arial" w:cs="Arial" w:eastAsia="Arial" w:hAnsi="Arial"/>
          <w:sz w:val="17"/>
          <w:szCs w:val="17"/>
          <w:color w:val="auto"/>
        </w:rPr>
        <w:t>; and</w:t>
      </w:r>
    </w:p>
    <w:p>
      <w:pPr>
        <w:spacing w:after="0" w:line="1" w:lineRule="exact"/>
        <w:rPr>
          <w:rFonts w:ascii="Arial" w:cs="Arial" w:eastAsia="Arial" w:hAnsi="Arial"/>
          <w:sz w:val="17"/>
          <w:szCs w:val="17"/>
          <w:color w:val="auto"/>
        </w:rPr>
      </w:pPr>
    </w:p>
    <w:p>
      <w:pPr>
        <w:jc w:val="both"/>
        <w:ind w:left="1080" w:hanging="325"/>
        <w:spacing w:after="0" w:line="256" w:lineRule="auto"/>
        <w:tabs>
          <w:tab w:leader="none" w:pos="17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2023 Employee Stock Purchase Plan, or the ESPP, which will become effective as of immediately prior to the completion of this offering, as well as any automatic increases in the number of shares of common stock reserved for future issuance under the ESPP.</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Unless otherwise indicated, all information contained in this prospectus assumes or gives effect to:</w:t>
      </w:r>
    </w:p>
    <w:p>
      <w:pPr>
        <w:spacing w:after="0" w:line="183" w:lineRule="exact"/>
        <w:rPr>
          <w:sz w:val="20"/>
          <w:szCs w:val="20"/>
          <w:color w:val="auto"/>
        </w:rPr>
      </w:pPr>
    </w:p>
    <w:p>
      <w:pPr>
        <w:ind w:left="1080" w:right="20" w:hanging="325"/>
        <w:spacing w:after="0" w:line="262" w:lineRule="auto"/>
        <w:tabs>
          <w:tab w:leader="none" w:pos="110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immediately prior to the completion of this offering;</w:t>
      </w:r>
    </w:p>
    <w:p>
      <w:pPr>
        <w:sectPr>
          <w:pgSz w:w="11900" w:h="16838" w:orient="portrait"/>
          <w:cols w:equalWidth="0" w:num="1">
            <w:col w:w="10820"/>
          </w:cols>
          <w:pgMar w:left="320" w:top="125" w:right="759" w:bottom="1440" w:gutter="0" w:footer="0" w:header="0"/>
        </w:sectPr>
      </w:pPr>
    </w:p>
    <w:p>
      <w:pPr>
        <w:ind w:left="760"/>
        <w:spacing w:after="0" w:line="224" w:lineRule="auto"/>
        <w:tabs>
          <w:tab w:leader="none" w:pos="1060" w:val="left"/>
          <w:tab w:leader="none" w:pos="1620" w:val="left"/>
        </w:tabs>
        <w:rPr>
          <w:sz w:val="20"/>
          <w:szCs w:val="20"/>
          <w:color w:val="auto"/>
        </w:rPr>
      </w:pPr>
      <w:r>
        <w:rPr>
          <w:rFonts w:ascii="Arial" w:cs="Arial" w:eastAsia="Arial" w:hAnsi="Arial"/>
          <w:sz w:val="17"/>
          <w:szCs w:val="17"/>
          <w:color w:val="auto"/>
        </w:rPr>
        <w:t>■</w:t>
        <w:tab/>
        <w:t>a</w:t>
      </w:r>
      <w:r>
        <w:rPr>
          <w:sz w:val="20"/>
          <w:szCs w:val="20"/>
          <w:color w:val="auto"/>
        </w:rPr>
        <w:tab/>
      </w:r>
      <w:r>
        <w:rPr>
          <w:rFonts w:ascii="Arial" w:cs="Arial" w:eastAsia="Arial" w:hAnsi="Arial"/>
          <w:sz w:val="17"/>
          <w:szCs w:val="17"/>
          <w:color w:val="auto"/>
        </w:rPr>
        <w:t>-for-</w:t>
      </w:r>
    </w:p>
    <w:p>
      <w:pPr>
        <w:spacing w:after="0" w:line="1"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7"/>
          <w:szCs w:val="17"/>
          <w:color w:val="auto"/>
        </w:rPr>
        <w:t>■</w:t>
        <w:tab/>
        <w:t>the issuance of</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7"/>
          <w:szCs w:val="17"/>
          <w:color w:val="auto"/>
        </w:rPr>
        <w:t>split of our common stock expected to be completed prior to the completion of this offering;</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shares of common stock following the closing of this offering from the settlement of certain outstanding</w:t>
      </w:r>
    </w:p>
    <w:p>
      <w:pPr>
        <w:spacing w:after="0" w:line="13" w:lineRule="exact"/>
        <w:rPr>
          <w:sz w:val="20"/>
          <w:szCs w:val="20"/>
          <w:color w:val="auto"/>
        </w:rPr>
      </w:pPr>
    </w:p>
    <w:p>
      <w:pPr>
        <w:sectPr>
          <w:pgSz w:w="11900" w:h="16838" w:orient="portrait"/>
          <w:cols w:equalWidth="0" w:num="2">
            <w:col w:w="2260" w:space="180"/>
            <w:col w:w="8380"/>
          </w:cols>
          <w:pgMar w:left="320" w:top="125" w:right="759" w:bottom="1440" w:gutter="0" w:footer="0" w:header="0"/>
          <w:type w:val="continuous"/>
        </w:sectPr>
      </w:pPr>
    </w:p>
    <w:p>
      <w:pPr>
        <w:ind w:left="1080" w:right="20"/>
        <w:spacing w:after="0" w:line="253" w:lineRule="auto"/>
        <w:rPr>
          <w:sz w:val="20"/>
          <w:szCs w:val="20"/>
          <w:color w:val="auto"/>
        </w:rPr>
      </w:pPr>
      <w:r>
        <w:rPr>
          <w:rFonts w:ascii="Arial" w:cs="Arial" w:eastAsia="Arial" w:hAnsi="Arial"/>
          <w:sz w:val="17"/>
          <w:szCs w:val="17"/>
          <w:color w:val="auto"/>
        </w:rPr>
        <w:t>RSUs issued under the 2014 Plan for which the Time-Based Requirement was satisfied on or before the date of this offering and for which the Liquidity Event Requirement will be satisfied upon the completion of this offering, or the RSU Settlement Issuance;</w:t>
      </w:r>
    </w:p>
    <w:p>
      <w:pPr>
        <w:ind w:left="1080" w:right="20" w:hanging="325"/>
        <w:spacing w:after="0" w:line="248" w:lineRule="auto"/>
        <w:tabs>
          <w:tab w:leader="none" w:pos="10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settlement or termination of outstanding RSUs described above for which the Time-Based Requirement will not be satisfied on or before the date of this offering; and</w:t>
      </w:r>
    </w:p>
    <w:p>
      <w:pPr>
        <w:spacing w:after="0" w:line="1" w:lineRule="exact"/>
        <w:rPr>
          <w:sz w:val="20"/>
          <w:szCs w:val="20"/>
          <w:color w:val="auto"/>
        </w:rPr>
      </w:pPr>
    </w:p>
    <w:p>
      <w:pPr>
        <w:ind w:left="760"/>
        <w:spacing w:after="0"/>
        <w:tabs>
          <w:tab w:leader="none" w:pos="1060" w:val="left"/>
          <w:tab w:leader="none" w:pos="6360" w:val="left"/>
        </w:tabs>
        <w:rPr>
          <w:sz w:val="20"/>
          <w:szCs w:val="20"/>
          <w:color w:val="auto"/>
        </w:rPr>
      </w:pPr>
      <w:r>
        <w:rPr>
          <w:rFonts w:ascii="Arial" w:cs="Arial" w:eastAsia="Arial" w:hAnsi="Arial"/>
          <w:sz w:val="17"/>
          <w:szCs w:val="17"/>
          <w:color w:val="auto"/>
        </w:rPr>
        <w:t>■</w:t>
        <w:tab/>
        <w:t>no exercise by the underwriters of their option to purchase up to</w:t>
      </w:r>
      <w:r>
        <w:rPr>
          <w:sz w:val="20"/>
          <w:szCs w:val="20"/>
          <w:color w:val="auto"/>
        </w:rPr>
        <w:tab/>
      </w:r>
      <w:r>
        <w:rPr>
          <w:rFonts w:ascii="Arial" w:cs="Arial" w:eastAsia="Arial" w:hAnsi="Arial"/>
          <w:sz w:val="17"/>
          <w:szCs w:val="17"/>
          <w:color w:val="auto"/>
        </w:rPr>
        <w:t>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820"/>
          </w:cols>
          <w:pgMar w:left="320" w:top="125" w:right="7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556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55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2" w:lineRule="exact"/>
        <w:rPr>
          <w:sz w:val="20"/>
          <w:szCs w:val="20"/>
          <w:color w:val="auto"/>
        </w:rPr>
      </w:pPr>
    </w:p>
    <w:p>
      <w:pPr>
        <w:jc w:val="both"/>
        <w:ind w:left="440"/>
        <w:spacing w:after="0" w:line="254" w:lineRule="auto"/>
        <w:rPr>
          <w:sz w:val="20"/>
          <w:szCs w:val="20"/>
          <w:color w:val="auto"/>
        </w:rPr>
      </w:pPr>
      <w:r>
        <w:rPr>
          <w:rFonts w:ascii="Arial" w:cs="Arial" w:eastAsia="Arial" w:hAnsi="Arial"/>
          <w:sz w:val="17"/>
          <w:szCs w:val="17"/>
          <w:i w:val="1"/>
          <w:iCs w:val="1"/>
          <w:color w:val="auto"/>
        </w:rPr>
        <w:t>The summary consolidated statements of operations data presented below for the years ended December 31, 2020 and 2021 are derived from our audited consolidated financial statements included elsewhere in this prospectus. The summary consolidated statements of operations data for the nine months ended September 30, 2021 and 2022 and the summary balance sheet data as of September 30, 2022 presented below are derived from our unaudited interim condensed consolidated financial statements included elsewhere in this prospectus. We have prepared the unaudited financial statements on the same basis as the audited financial statements and have included, in our opinion, all adjustments, that we consider necessary for a fair presentation of the financial information set forth in those financial statements. The following summary consolidated financial data should be read together with “Management’s Discussion and Analysis of Financial Condition and Results of Operations” and our consolidated financial statements and related notes included elsewhere in this prospectus. The summary financial data included in this section are not intended to replace our financial statements and related notes thereto included elsewhere in this prospectus and are qualified in their entirety by our financial statements and related notes thereto included elsewhere in this prospectus. Historical results are not necessarily indicative of the results that may be expected for any period in the future.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44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0" w:type="dxa"/>
            <w:vAlign w:val="bottom"/>
            <w:gridSpan w:val="8"/>
            <w:shd w:val="clear" w:color="auto" w:fill="CCEEFF"/>
          </w:tcPr>
          <w:p>
            <w:pPr>
              <w:jc w:val="right"/>
              <w:ind w:right="175"/>
              <w:spacing w:after="0"/>
              <w:rPr>
                <w:sz w:val="20"/>
                <w:szCs w:val="20"/>
                <w:color w:val="auto"/>
              </w:rPr>
            </w:pPr>
            <w:r>
              <w:rPr>
                <w:rFonts w:ascii="Arial" w:cs="Arial" w:eastAsia="Arial" w:hAnsi="Arial"/>
                <w:sz w:val="14"/>
                <w:szCs w:val="14"/>
                <w:i w:val="1"/>
                <w:iCs w:val="1"/>
                <w:color w:val="auto"/>
              </w:rPr>
              <w:t>(in thousands, except share and per share data)</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27,826</w:t>
            </w:r>
          </w:p>
        </w:tc>
        <w:tc>
          <w:tcPr>
            <w:tcW w:w="3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29,687</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21,563</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27,946</w:t>
            </w: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8,727</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36,673</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6,767</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29,906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10,062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9,851</w:t>
            </w: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7,935</w:t>
            </w:r>
          </w:p>
        </w:tc>
        <w:tc>
          <w:tcPr>
            <w:tcW w:w="0" w:type="dxa"/>
            <w:vAlign w:val="bottom"/>
          </w:tcPr>
          <w:p>
            <w:pPr>
              <w:spacing w:after="0"/>
              <w:rPr>
                <w:sz w:val="1"/>
                <w:szCs w:val="1"/>
                <w:color w:val="auto"/>
              </w:rPr>
            </w:pPr>
          </w:p>
        </w:tc>
      </w:tr>
      <w:tr>
        <w:trPr>
          <w:trHeight w:val="227"/>
        </w:trPr>
        <w:tc>
          <w:tcPr>
            <w:tcW w:w="44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9,072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11,607</w:t>
            </w: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Impairment charges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36,846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27,118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29,953</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color w:val="auto"/>
              </w:rPr>
              <w:t>Gain on debt extinguishment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21"/>
        </w:trPr>
        <w:tc>
          <w:tcPr>
            <w:tcW w:w="4440" w:type="dxa"/>
            <w:vAlign w:val="bottom"/>
          </w:tcPr>
          <w:p>
            <w:pPr>
              <w:ind w:left="20"/>
              <w:spacing w:after="0"/>
              <w:rPr>
                <w:sz w:val="20"/>
                <w:szCs w:val="20"/>
                <w:color w:val="auto"/>
              </w:rPr>
            </w:pPr>
            <w:r>
              <w:rPr>
                <w:rFonts w:ascii="Arial" w:cs="Arial" w:eastAsia="Arial" w:hAnsi="Arial"/>
                <w:sz w:val="17"/>
                <w:szCs w:val="17"/>
                <w:color w:val="auto"/>
              </w:rPr>
              <w:t>Income (loss) before income tax provision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income (loss) per share attributable to common</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0"/>
              <w:spacing w:after="0" w:line="229" w:lineRule="exact"/>
              <w:rPr>
                <w:sz w:val="20"/>
                <w:szCs w:val="20"/>
                <w:color w:val="auto"/>
              </w:rPr>
            </w:pPr>
            <w:r>
              <w:rPr>
                <w:rFonts w:ascii="Arial" w:cs="Arial" w:eastAsia="Arial" w:hAnsi="Arial"/>
                <w:sz w:val="17"/>
                <w:szCs w:val="17"/>
                <w:color w:val="auto"/>
              </w:rPr>
              <w:t>stockholders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0.06</w:t>
            </w:r>
          </w:p>
        </w:tc>
        <w:tc>
          <w:tcPr>
            <w:tcW w:w="3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(0.05)</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 average shares used in computing per share</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0"/>
              <w:spacing w:after="0" w:line="229" w:lineRule="exact"/>
              <w:rPr>
                <w:sz w:val="20"/>
                <w:szCs w:val="20"/>
                <w:color w:val="auto"/>
              </w:rPr>
            </w:pPr>
            <w:r>
              <w:rPr>
                <w:rFonts w:ascii="Arial" w:cs="Arial" w:eastAsia="Arial" w:hAnsi="Arial"/>
                <w:sz w:val="17"/>
                <w:szCs w:val="17"/>
                <w:color w:val="auto"/>
              </w:rPr>
              <w:t>amounts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40,000,000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40,000,000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40,000,000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Pro forma net loss attributable to common stockholders,</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0"/>
              <w:spacing w:after="0" w:line="230" w:lineRule="exact"/>
              <w:rPr>
                <w:sz w:val="20"/>
                <w:szCs w:val="20"/>
                <w:color w:val="auto"/>
              </w:rPr>
            </w:pPr>
            <w:r>
              <w:rPr>
                <w:rFonts w:ascii="Arial" w:cs="Arial" w:eastAsia="Arial" w:hAnsi="Arial"/>
                <w:sz w:val="17"/>
                <w:szCs w:val="17"/>
                <w:color w:val="auto"/>
              </w:rPr>
              <w:t>basic and diluted (unaudited)</w:t>
            </w:r>
            <w:r>
              <w:rPr>
                <w:rFonts w:ascii="Arial" w:cs="Arial" w:eastAsia="Arial" w:hAnsi="Arial"/>
                <w:sz w:val="23"/>
                <w:szCs w:val="23"/>
                <w:color w:val="auto"/>
                <w:vertAlign w:val="superscript"/>
              </w:rPr>
              <w:t>(2)</w:t>
            </w: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440" w:type="dxa"/>
            <w:vAlign w:val="bottom"/>
          </w:tcPr>
          <w:p>
            <w:pPr>
              <w:ind w:left="20"/>
              <w:spacing w:after="0" w:line="167" w:lineRule="exact"/>
              <w:rPr>
                <w:sz w:val="20"/>
                <w:szCs w:val="20"/>
                <w:color w:val="auto"/>
              </w:rPr>
            </w:pPr>
            <w:r>
              <w:rPr>
                <w:rFonts w:ascii="Arial" w:cs="Arial" w:eastAsia="Arial" w:hAnsi="Arial"/>
                <w:sz w:val="17"/>
                <w:szCs w:val="17"/>
                <w:color w:val="auto"/>
              </w:rPr>
              <w:t>Weighted-average shares used to compute pro forma net</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200"/>
              <w:spacing w:after="0" w:line="171" w:lineRule="exact"/>
              <w:rPr>
                <w:sz w:val="20"/>
                <w:szCs w:val="20"/>
                <w:color w:val="auto"/>
              </w:rPr>
            </w:pPr>
            <w:r>
              <w:rPr>
                <w:rFonts w:ascii="Arial" w:cs="Arial" w:eastAsia="Arial" w:hAnsi="Arial"/>
                <w:sz w:val="17"/>
                <w:szCs w:val="17"/>
                <w:color w:val="auto"/>
              </w:rPr>
              <w:t>loss per share attributable to common stockholders,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42,458,419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42,900,716</w:t>
            </w: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line="203" w:lineRule="exact"/>
              <w:rPr>
                <w:sz w:val="20"/>
                <w:szCs w:val="20"/>
                <w:color w:val="auto"/>
              </w:rPr>
            </w:pPr>
            <w:r>
              <w:rPr>
                <w:rFonts w:ascii="Arial" w:cs="Arial" w:eastAsia="Arial" w:hAnsi="Arial"/>
                <w:sz w:val="17"/>
                <w:szCs w:val="17"/>
                <w:color w:val="auto"/>
              </w:rPr>
              <w:t>basic and diluted (unaudited)</w:t>
            </w:r>
            <w:r>
              <w:rPr>
                <w:rFonts w:ascii="Arial" w:cs="Arial" w:eastAsia="Arial" w:hAnsi="Arial"/>
                <w:sz w:val="22"/>
                <w:szCs w:val="22"/>
                <w:color w:val="auto"/>
                <w:vertAlign w:val="superscript"/>
              </w:rPr>
              <w:t>(2)</w:t>
            </w: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60" w:right="20" w:hanging="329"/>
        <w:spacing w:after="0" w:line="281" w:lineRule="auto"/>
        <w:tabs>
          <w:tab w:leader="none" w:pos="7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Note 2 to our financial statements included elsewhere in this prospectus for further information on the calculations of net income (loss) per share attributable to common stockholders.</w:t>
      </w:r>
    </w:p>
    <w:p>
      <w:pPr>
        <w:spacing w:after="0" w:line="1" w:lineRule="exact"/>
        <w:rPr>
          <w:rFonts w:ascii="Arial" w:cs="Arial" w:eastAsia="Arial" w:hAnsi="Arial"/>
          <w:sz w:val="14"/>
          <w:szCs w:val="14"/>
          <w:color w:val="auto"/>
        </w:rPr>
      </w:pPr>
    </w:p>
    <w:p>
      <w:pPr>
        <w:jc w:val="both"/>
        <w:ind w:left="760" w:hanging="329"/>
        <w:spacing w:after="0" w:line="283" w:lineRule="auto"/>
        <w:tabs>
          <w:tab w:leader="none" w:pos="7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Basic and diluted unaudited pro forma net loss per share attributable to common stockholders for the year ended December 31, 2021 and the nine months ended September 30, 2022 gives effect to the settlement of the RSUs and issuance of the underlying common stock as of December 31, 2021 and September 30, 2022 as further described in Note 2 and Note 11 to our consolidated financial</w:t>
      </w:r>
    </w:p>
    <w:p>
      <w:pPr>
        <w:sectPr>
          <w:pgSz w:w="11900" w:h="16838" w:orient="portrait"/>
          <w:cols w:equalWidth="0" w:num="1">
            <w:col w:w="10820"/>
          </w:cols>
          <w:pgMar w:left="320" w:top="125" w:right="7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20"/>
          </w:cols>
          <w:pgMar w:left="320" w:top="125" w:right="7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7701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70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spacing w:after="0" w:line="288" w:lineRule="auto"/>
        <w:rPr>
          <w:sz w:val="20"/>
          <w:szCs w:val="20"/>
          <w:color w:val="auto"/>
        </w:rPr>
      </w:pPr>
      <w:r>
        <w:rPr>
          <w:rFonts w:ascii="Arial" w:cs="Arial" w:eastAsia="Arial" w:hAnsi="Arial"/>
          <w:sz w:val="14"/>
          <w:szCs w:val="14"/>
          <w:color w:val="auto"/>
        </w:rPr>
        <w:t>statements included elsewhere in this prospectus. The following table summarizes our unaudited pro forma net loss per share for the year ended December 31, 2021 and for the nine months ended September 30, 2022:</w:t>
      </w:r>
    </w:p>
    <w:tbl>
      <w:tblPr>
        <w:tblLayout w:type="fixed"/>
        <w:tblInd w:w="760" w:type="dxa"/>
        <w:tblCellMar>
          <w:top w:w="0" w:type="dxa"/>
          <w:left w:w="0" w:type="dxa"/>
          <w:bottom w:w="0" w:type="dxa"/>
          <w:right w:w="0" w:type="dxa"/>
        </w:tblCellMar>
      </w:tblPr>
      <w:tr>
        <w:trPr>
          <w:trHeight w:val="143"/>
        </w:trPr>
        <w:tc>
          <w:tcPr>
            <w:tcW w:w="68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68"/>
              <w:spacing w:after="0" w:line="143" w:lineRule="exact"/>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39"/>
        </w:trPr>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58"/>
        </w:trPr>
        <w:tc>
          <w:tcPr>
            <w:tcW w:w="6880" w:type="dxa"/>
            <w:vAlign w:val="bottom"/>
          </w:tcPr>
          <w:p>
            <w:pPr>
              <w:spacing w:after="0"/>
              <w:rPr>
                <w:sz w:val="13"/>
                <w:szCs w:val="13"/>
                <w:color w:val="auto"/>
              </w:rPr>
            </w:pPr>
          </w:p>
        </w:tc>
        <w:tc>
          <w:tcPr>
            <w:tcW w:w="14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3"/>
                <w:szCs w:val="13"/>
                <w:color w:val="auto"/>
              </w:rPr>
            </w:pPr>
          </w:p>
        </w:tc>
        <w:tc>
          <w:tcPr>
            <w:tcW w:w="118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68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8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780" w:type="dxa"/>
            <w:vAlign w:val="bottom"/>
            <w:gridSpan w:val="5"/>
            <w:shd w:val="clear" w:color="auto" w:fill="CCEEFF"/>
          </w:tcPr>
          <w:p>
            <w:pPr>
              <w:jc w:val="right"/>
              <w:spacing w:after="0" w:line="142" w:lineRule="exact"/>
              <w:rPr>
                <w:sz w:val="20"/>
                <w:szCs w:val="20"/>
                <w:color w:val="auto"/>
              </w:rPr>
            </w:pPr>
            <w:r>
              <w:rPr>
                <w:rFonts w:ascii="Arial" w:cs="Arial" w:eastAsia="Arial" w:hAnsi="Arial"/>
                <w:sz w:val="14"/>
                <w:szCs w:val="14"/>
                <w:color w:val="auto"/>
              </w:rPr>
              <w:t>(in thousands, except share and per share</w:t>
            </w:r>
          </w:p>
        </w:tc>
        <w:tc>
          <w:tcPr>
            <w:tcW w:w="0" w:type="dxa"/>
            <w:vAlign w:val="bottom"/>
          </w:tcPr>
          <w:p>
            <w:pPr>
              <w:spacing w:after="0"/>
              <w:rPr>
                <w:sz w:val="1"/>
                <w:szCs w:val="1"/>
                <w:color w:val="auto"/>
              </w:rPr>
            </w:pPr>
          </w:p>
        </w:tc>
      </w:tr>
      <w:tr>
        <w:trPr>
          <w:trHeight w:val="189"/>
        </w:trPr>
        <w:tc>
          <w:tcPr>
            <w:tcW w:w="68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data)</w:t>
            </w: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88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Stock-based compensation expense related to RSUs for which the liquidity event vesting condition</w:t>
            </w:r>
          </w:p>
        </w:tc>
        <w:tc>
          <w:tcPr>
            <w:tcW w:w="3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6,653</w:t>
            </w: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becomes probable in connection with this offering</w:t>
            </w: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80" w:type="dxa"/>
            <w:vAlign w:val="bottom"/>
          </w:tcPr>
          <w:p>
            <w:pPr>
              <w:ind w:left="20"/>
              <w:spacing w:after="0"/>
              <w:rPr>
                <w:sz w:val="20"/>
                <w:szCs w:val="20"/>
                <w:color w:val="auto"/>
              </w:rPr>
            </w:pPr>
            <w:r>
              <w:rPr>
                <w:rFonts w:ascii="Arial" w:cs="Arial" w:eastAsia="Arial" w:hAnsi="Arial"/>
                <w:sz w:val="14"/>
                <w:szCs w:val="14"/>
                <w:color w:val="auto"/>
              </w:rPr>
              <w:t>Pro forma net loss attributable to common stockholders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80" w:type="dxa"/>
            <w:vAlign w:val="bottom"/>
          </w:tcPr>
          <w:p>
            <w:pPr>
              <w:ind w:left="20"/>
              <w:spacing w:after="0" w:line="149" w:lineRule="exact"/>
              <w:rPr>
                <w:sz w:val="20"/>
                <w:szCs w:val="20"/>
                <w:color w:val="auto"/>
              </w:rPr>
            </w:pPr>
            <w:r>
              <w:rPr>
                <w:rFonts w:ascii="Arial" w:cs="Arial" w:eastAsia="Arial" w:hAnsi="Arial"/>
                <w:sz w:val="14"/>
                <w:szCs w:val="14"/>
                <w:color w:val="auto"/>
              </w:rPr>
              <w:t>Weighted average shares used to compute net loss per share attributable to common stockholders, basic</w:t>
            </w:r>
          </w:p>
        </w:tc>
        <w:tc>
          <w:tcPr>
            <w:tcW w:w="3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40,000,000</w:t>
            </w:r>
          </w:p>
        </w:tc>
        <w:tc>
          <w:tcPr>
            <w:tcW w:w="0" w:type="dxa"/>
            <w:vAlign w:val="bottom"/>
          </w:tcPr>
          <w:p>
            <w:pPr>
              <w:spacing w:after="0"/>
              <w:rPr>
                <w:sz w:val="1"/>
                <w:szCs w:val="1"/>
                <w:color w:val="auto"/>
              </w:rPr>
            </w:pPr>
          </w:p>
        </w:tc>
      </w:tr>
      <w:tr>
        <w:trPr>
          <w:trHeight w:val="189"/>
        </w:trPr>
        <w:tc>
          <w:tcPr>
            <w:tcW w:w="6880" w:type="dxa"/>
            <w:vAlign w:val="bottom"/>
          </w:tcPr>
          <w:p>
            <w:pPr>
              <w:ind w:left="180"/>
              <w:spacing w:after="0"/>
              <w:rPr>
                <w:sz w:val="20"/>
                <w:szCs w:val="20"/>
                <w:color w:val="auto"/>
              </w:rPr>
            </w:pPr>
            <w:r>
              <w:rPr>
                <w:rFonts w:ascii="Arial" w:cs="Arial" w:eastAsia="Arial" w:hAnsi="Arial"/>
                <w:sz w:val="14"/>
                <w:szCs w:val="14"/>
                <w:color w:val="auto"/>
              </w:rPr>
              <w:t>and diluted</w:t>
            </w: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 forma adjustment to reflect the automatic conversion of RSUs to common stock in connection with this</w:t>
            </w:r>
          </w:p>
        </w:tc>
        <w:tc>
          <w:tcPr>
            <w:tcW w:w="3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2,458,419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2,900,716</w:t>
            </w: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offering</w:t>
            </w: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80" w:type="dxa"/>
            <w:vAlign w:val="bottom"/>
          </w:tcPr>
          <w:p>
            <w:pPr>
              <w:ind w:left="20"/>
              <w:spacing w:after="0" w:line="129" w:lineRule="exact"/>
              <w:rPr>
                <w:sz w:val="20"/>
                <w:szCs w:val="20"/>
                <w:color w:val="auto"/>
              </w:rPr>
            </w:pPr>
            <w:r>
              <w:rPr>
                <w:rFonts w:ascii="Arial" w:cs="Arial" w:eastAsia="Arial" w:hAnsi="Arial"/>
                <w:sz w:val="14"/>
                <w:szCs w:val="14"/>
                <w:color w:val="auto"/>
              </w:rPr>
              <w:t>Weighted-average shares used to compute pro forma net loss per share attributable to common</w:t>
            </w:r>
          </w:p>
        </w:tc>
        <w:tc>
          <w:tcPr>
            <w:tcW w:w="3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42,458,419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42,900,716</w:t>
            </w:r>
          </w:p>
        </w:tc>
        <w:tc>
          <w:tcPr>
            <w:tcW w:w="0" w:type="dxa"/>
            <w:vAlign w:val="bottom"/>
          </w:tcPr>
          <w:p>
            <w:pPr>
              <w:spacing w:after="0"/>
              <w:rPr>
                <w:sz w:val="1"/>
                <w:szCs w:val="1"/>
                <w:color w:val="auto"/>
              </w:rPr>
            </w:pPr>
          </w:p>
        </w:tc>
      </w:tr>
      <w:tr>
        <w:trPr>
          <w:trHeight w:val="162"/>
        </w:trPr>
        <w:tc>
          <w:tcPr>
            <w:tcW w:w="6880" w:type="dxa"/>
            <w:vAlign w:val="bottom"/>
          </w:tcPr>
          <w:p>
            <w:pPr>
              <w:ind w:left="180"/>
              <w:spacing w:after="0"/>
              <w:rPr>
                <w:sz w:val="20"/>
                <w:szCs w:val="20"/>
                <w:color w:val="auto"/>
              </w:rPr>
            </w:pPr>
            <w:r>
              <w:rPr>
                <w:rFonts w:ascii="Arial" w:cs="Arial" w:eastAsia="Arial" w:hAnsi="Arial"/>
                <w:sz w:val="14"/>
                <w:szCs w:val="14"/>
                <w:color w:val="auto"/>
              </w:rPr>
              <w:t>stockholders, basic and diluted</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net loss per share attributable to common stockholders, basic and diluted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6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Consolidated Balance Sheet Data</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60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020" w:type="dxa"/>
            <w:vAlign w:val="bottom"/>
            <w:tcBorders>
              <w:top w:val="single" w:sz="8" w:color="auto"/>
              <w:bottom w:val="single" w:sz="8" w:color="auto"/>
            </w:tcBorders>
            <w:gridSpan w:val="4"/>
          </w:tcPr>
          <w:p>
            <w:pPr>
              <w:jc w:val="center"/>
              <w:ind w:right="197"/>
              <w:spacing w:after="0"/>
              <w:rPr>
                <w:sz w:val="20"/>
                <w:szCs w:val="20"/>
                <w:color w:val="auto"/>
              </w:rPr>
            </w:pPr>
            <w:r>
              <w:rPr>
                <w:rFonts w:ascii="Arial" w:cs="Arial" w:eastAsia="Arial" w:hAnsi="Arial"/>
                <w:sz w:val="14"/>
                <w:szCs w:val="14"/>
                <w:b w:val="1"/>
                <w:bCs w:val="1"/>
                <w:color w:val="auto"/>
              </w:rPr>
              <w:t>As of September 30, 2022</w:t>
            </w:r>
          </w:p>
        </w:tc>
        <w:tc>
          <w:tcPr>
            <w:tcW w:w="0" w:type="dxa"/>
            <w:vAlign w:val="bottom"/>
          </w:tcPr>
          <w:p>
            <w:pPr>
              <w:spacing w:after="0"/>
              <w:rPr>
                <w:sz w:val="1"/>
                <w:szCs w:val="1"/>
                <w:color w:val="auto"/>
              </w:rPr>
            </w:pPr>
          </w:p>
        </w:tc>
      </w:tr>
      <w:tr>
        <w:trPr>
          <w:trHeight w:val="145"/>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2"/>
                <w:szCs w:val="12"/>
                <w:color w:val="auto"/>
              </w:rPr>
            </w:pPr>
          </w:p>
        </w:tc>
        <w:tc>
          <w:tcPr>
            <w:tcW w:w="12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9"/>
                <w:szCs w:val="9"/>
                <w:b w:val="1"/>
                <w:bCs w:val="1"/>
                <w:color w:val="auto"/>
              </w:rPr>
              <w:t>(1)</w:t>
            </w:r>
          </w:p>
        </w:tc>
        <w:tc>
          <w:tcPr>
            <w:tcW w:w="1420" w:type="dxa"/>
            <w:vAlign w:val="bottom"/>
          </w:tcPr>
          <w:p>
            <w:pPr>
              <w:jc w:val="right"/>
              <w:ind w:right="117"/>
              <w:spacing w:after="0" w:line="145"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01"/>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137"/>
              <w:spacing w:after="0" w:line="201"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8"/>
                <w:szCs w:val="18"/>
                <w:b w:val="1"/>
                <w:bCs w:val="1"/>
                <w:color w:val="auto"/>
                <w:vertAlign w:val="superscript"/>
              </w:rPr>
              <w:t>(1) (2)</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3,971</w:t>
            </w:r>
          </w:p>
        </w:tc>
        <w:tc>
          <w:tcPr>
            <w:tcW w:w="1420" w:type="dxa"/>
            <w:vAlign w:val="bottom"/>
            <w:shd w:val="clear" w:color="auto" w:fill="CCEEFF"/>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7"/>
                <w:szCs w:val="17"/>
                <w:color w:val="auto"/>
              </w:rPr>
              <w:t>Accounts receivable, net of allowances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9,113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9,113</w:t>
            </w:r>
          </w:p>
        </w:tc>
        <w:tc>
          <w:tcPr>
            <w:tcW w:w="1420" w:type="dxa"/>
            <w:vAlign w:val="bottom"/>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10,072</w:t>
            </w:r>
          </w:p>
        </w:tc>
        <w:tc>
          <w:tcPr>
            <w:tcW w:w="1420" w:type="dxa"/>
            <w:vAlign w:val="bottom"/>
            <w:shd w:val="clear" w:color="auto" w:fill="CCEEFF"/>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line="229" w:lineRule="exact"/>
              <w:rPr>
                <w:sz w:val="20"/>
                <w:szCs w:val="20"/>
                <w:color w:val="auto"/>
              </w:rPr>
            </w:pPr>
            <w:r>
              <w:rPr>
                <w:rFonts w:ascii="Arial" w:cs="Arial" w:eastAsia="Arial" w:hAnsi="Arial"/>
                <w:sz w:val="17"/>
                <w:szCs w:val="17"/>
                <w:color w:val="auto"/>
              </w:rPr>
              <w:t>Working capital</w:t>
            </w:r>
            <w:r>
              <w:rPr>
                <w:rFonts w:ascii="Arial" w:cs="Arial" w:eastAsia="Arial" w:hAnsi="Arial"/>
                <w:sz w:val="22"/>
                <w:szCs w:val="22"/>
                <w:color w:val="auto"/>
                <w:vertAlign w:val="superscript"/>
              </w:rPr>
              <w:t>(3)</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1,017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1,017</w:t>
            </w:r>
          </w:p>
        </w:tc>
        <w:tc>
          <w:tcPr>
            <w:tcW w:w="1420" w:type="dxa"/>
            <w:vAlign w:val="bottom"/>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39,106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39,106</w:t>
            </w:r>
          </w:p>
        </w:tc>
        <w:tc>
          <w:tcPr>
            <w:tcW w:w="1420" w:type="dxa"/>
            <w:vAlign w:val="bottom"/>
            <w:shd w:val="clear" w:color="auto" w:fill="CCEEFF"/>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10,534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10,534</w:t>
            </w:r>
          </w:p>
        </w:tc>
        <w:tc>
          <w:tcPr>
            <w:tcW w:w="1420" w:type="dxa"/>
            <w:vAlign w:val="bottom"/>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26,955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24,455</w:t>
            </w:r>
          </w:p>
        </w:tc>
        <w:tc>
          <w:tcPr>
            <w:tcW w:w="1420" w:type="dxa"/>
            <w:vAlign w:val="bottom"/>
            <w:shd w:val="clear" w:color="auto" w:fill="CCEEFF"/>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7"/>
                <w:szCs w:val="17"/>
                <w:color w:val="auto"/>
              </w:rPr>
              <w:t>Retained earnings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14,953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8,300</w:t>
            </w:r>
          </w:p>
        </w:tc>
        <w:tc>
          <w:tcPr>
            <w:tcW w:w="1420" w:type="dxa"/>
            <w:vAlign w:val="bottom"/>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5,498</w:t>
            </w:r>
          </w:p>
        </w:tc>
        <w:tc>
          <w:tcPr>
            <w:tcW w:w="1420" w:type="dxa"/>
            <w:vAlign w:val="bottom"/>
            <w:shd w:val="clear" w:color="auto" w:fill="CCEEFF"/>
          </w:tcPr>
          <w:p>
            <w:pPr>
              <w:jc w:val="right"/>
              <w:ind w:right="1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5"/>
        </w:trPr>
        <w:tc>
          <w:tcPr>
            <w:tcW w:w="60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760" w:right="480" w:hanging="329"/>
        <w:spacing w:after="0" w:line="251" w:lineRule="auto"/>
        <w:tabs>
          <w:tab w:leader="none" w:pos="7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column gives effect to (i) the filing and effectiveness of our amended and restated certificate of incorporation immediately prior to the completion of this offering, (ii) the repayment of the March 2022 Loan and the 2022 Credit Line, (iii) the RSU Settlement Issuance, and (iv) stock-based compensation expenses for which the Time-Based Requirement was satisfied on or before the date of this offering and for which the Liquidity Event Requirement will be satisfied in connection with this offering.</w:t>
      </w:r>
    </w:p>
    <w:p>
      <w:pPr>
        <w:spacing w:after="0" w:line="2" w:lineRule="exact"/>
        <w:rPr>
          <w:rFonts w:ascii="Arial" w:cs="Arial" w:eastAsia="Arial" w:hAnsi="Arial"/>
          <w:sz w:val="14"/>
          <w:szCs w:val="14"/>
          <w:color w:val="auto"/>
        </w:rPr>
      </w:pPr>
    </w:p>
    <w:p>
      <w:pPr>
        <w:ind w:left="760" w:right="500" w:hanging="329"/>
        <w:spacing w:after="0" w:line="251" w:lineRule="auto"/>
        <w:tabs>
          <w:tab w:leader="none" w:pos="7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as adjusted column gives effect to the pro forma adjustments described in footnote (1) above and gives further effect to the sale of shares of common stock by us in this offering after deducting underwriting discounts and commissions and estimated offering expenses payable by us.</w:t>
      </w:r>
    </w:p>
    <w:p>
      <w:pPr>
        <w:ind w:left="740" w:hanging="309"/>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Key Operating Indicators and Non-GAAP Financial Measures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4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193"/>
        </w:trPr>
        <w:tc>
          <w:tcPr>
            <w:tcW w:w="4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4"/>
          </w:tcPr>
          <w:p>
            <w:pPr>
              <w:jc w:val="right"/>
              <w:ind w:right="801"/>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Bookings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44.0</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30.6</w:t>
            </w:r>
          </w:p>
        </w:tc>
        <w:tc>
          <w:tcPr>
            <w:tcW w:w="3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r>
      <w:tr>
        <w:trPr>
          <w:trHeight w:val="225"/>
        </w:trPr>
        <w:tc>
          <w:tcPr>
            <w:tcW w:w="4480" w:type="dxa"/>
            <w:vAlign w:val="bottom"/>
          </w:tcPr>
          <w:p>
            <w:pPr>
              <w:ind w:left="20"/>
              <w:spacing w:after="0"/>
              <w:rPr>
                <w:sz w:val="20"/>
                <w:szCs w:val="20"/>
                <w:color w:val="auto"/>
              </w:rPr>
            </w:pPr>
            <w:r>
              <w:rPr>
                <w:rFonts w:ascii="Arial" w:cs="Arial" w:eastAsia="Arial" w:hAnsi="Arial"/>
                <w:sz w:val="17"/>
                <w:szCs w:val="17"/>
                <w:color w:val="auto"/>
              </w:rPr>
              <w:t>Non-GAAP net income (loss)</w:t>
            </w:r>
          </w:p>
        </w:tc>
        <w:tc>
          <w:tcPr>
            <w:tcW w:w="920" w:type="dxa"/>
            <w:vAlign w:val="bottom"/>
          </w:tcPr>
          <w:p>
            <w:pPr>
              <w:jc w:val="right"/>
              <w:ind w:right="721"/>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940" w:type="dxa"/>
            <w:vAlign w:val="bottom"/>
          </w:tcPr>
          <w:p>
            <w:pPr>
              <w:jc w:val="right"/>
              <w:ind w:right="659"/>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(0.6)</w:t>
            </w:r>
          </w:p>
        </w:tc>
        <w:tc>
          <w:tcPr>
            <w:tcW w:w="3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w:t>
            </w:r>
          </w:p>
        </w:tc>
      </w:tr>
    </w:tbl>
    <w:p>
      <w:pPr>
        <w:spacing w:after="0" w:line="239" w:lineRule="exact"/>
        <w:rPr>
          <w:sz w:val="20"/>
          <w:szCs w:val="20"/>
          <w:color w:val="auto"/>
        </w:rPr>
      </w:pPr>
    </w:p>
    <w:p>
      <w:pPr>
        <w:jc w:val="both"/>
        <w:ind w:left="440"/>
        <w:spacing w:after="0" w:line="259" w:lineRule="auto"/>
        <w:rPr>
          <w:sz w:val="20"/>
          <w:szCs w:val="20"/>
          <w:color w:val="auto"/>
        </w:rPr>
      </w:pPr>
      <w:r>
        <w:rPr>
          <w:rFonts w:ascii="Arial" w:cs="Arial" w:eastAsia="Arial" w:hAnsi="Arial"/>
          <w:sz w:val="17"/>
          <w:szCs w:val="17"/>
          <w:color w:val="auto"/>
        </w:rPr>
        <w:t>We report our financial results in accordance with U.S. generally accepted accounting principles, or GAAP. However, management believes that non-GAAP net income (loss) provides investors with additional useful information in evaluating our performance. This financial measure is not required by or presented in accordance with GAAP. We believe, however, that this non-GAAP financial measure,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non-</w:t>
      </w:r>
    </w:p>
    <w:p>
      <w:pPr>
        <w:sectPr>
          <w:pgSz w:w="11900" w:h="16838" w:orient="portrait"/>
          <w:cols w:equalWidth="0" w:num="1">
            <w:col w:w="10820"/>
          </w:cols>
          <w:pgMar w:left="320" w:top="12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20"/>
          </w:cols>
          <w:pgMar w:left="320" w:top="125" w:right="7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515620</wp:posOffset>
            </wp:positionV>
            <wp:extent cx="7136130" cy="4701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470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440" w:right="20"/>
        <w:spacing w:after="0" w:line="284" w:lineRule="auto"/>
        <w:rPr>
          <w:sz w:val="20"/>
          <w:szCs w:val="20"/>
          <w:color w:val="auto"/>
        </w:rPr>
      </w:pPr>
      <w:r>
        <w:rPr>
          <w:rFonts w:ascii="Arial" w:cs="Arial" w:eastAsia="Arial" w:hAnsi="Arial"/>
          <w:sz w:val="17"/>
          <w:szCs w:val="17"/>
          <w:color w:val="auto"/>
        </w:rPr>
        <w:t>GAAP net income (loss) provides useful supplemental information to investors and others in understanding and evaluating our results of operations, as well as provide a useful measure for period-to-period comparisons of our business performance.</w:t>
      </w:r>
    </w:p>
    <w:p>
      <w:pPr>
        <w:spacing w:after="0" w:line="118" w:lineRule="exact"/>
        <w:rPr>
          <w:sz w:val="20"/>
          <w:szCs w:val="20"/>
          <w:color w:val="auto"/>
        </w:rPr>
      </w:pPr>
    </w:p>
    <w:p>
      <w:pPr>
        <w:jc w:val="both"/>
        <w:ind w:left="440"/>
        <w:spacing w:after="0" w:line="259" w:lineRule="auto"/>
        <w:rPr>
          <w:sz w:val="20"/>
          <w:szCs w:val="20"/>
          <w:color w:val="auto"/>
        </w:rPr>
      </w:pPr>
      <w:r>
        <w:rPr>
          <w:rFonts w:ascii="Arial" w:cs="Arial" w:eastAsia="Arial" w:hAnsi="Arial"/>
          <w:sz w:val="17"/>
          <w:szCs w:val="17"/>
          <w:color w:val="auto"/>
        </w:rPr>
        <w:t>Certain items are excluded from our non-GAAP net income (loss) because these items are non-cash in nature or are not indicative of our core operating performance, and render comparisons with prior periods and competitors less meaningful. We adjust net income (loss) for these items to arrive at non-GAAP net income (loss) because these amounts can vary substantially from company to company within our industry depending upon accounting methods and book values of assets, capital structure and the method by which the assets were acquired. See “Management’s Discussion and Analysis of Financial Condition and Results of Operations—Non-GAAP Financial Measures.”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net income (loss) to non-GAAP net income (loss).</w:t>
      </w:r>
    </w:p>
    <w:p>
      <w:pPr>
        <w:spacing w:after="0" w:line="77"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44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center"/>
              <w:ind w:right="11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4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197"/>
        </w:trPr>
        <w:tc>
          <w:tcPr>
            <w:tcW w:w="4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860" w:type="dxa"/>
            <w:vAlign w:val="bottom"/>
          </w:tcPr>
          <w:p>
            <w:pPr>
              <w:jc w:val="right"/>
              <w:ind w:right="661"/>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2,550</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(666)</w:t>
            </w:r>
          </w:p>
        </w:tc>
        <w:tc>
          <w:tcPr>
            <w:tcW w:w="80" w:type="dxa"/>
            <w:vAlign w:val="bottom"/>
          </w:tcPr>
          <w:p>
            <w:pPr>
              <w:spacing w:after="0"/>
              <w:rPr>
                <w:sz w:val="19"/>
                <w:szCs w:val="19"/>
                <w:color w:val="auto"/>
              </w:rPr>
            </w:pPr>
          </w:p>
        </w:tc>
        <w:tc>
          <w:tcPr>
            <w:tcW w:w="380" w:type="dxa"/>
            <w:vAlign w:val="bottom"/>
          </w:tcPr>
          <w:p>
            <w:pPr>
              <w:jc w:val="center"/>
              <w:ind w:right="13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(901)</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line="229" w:lineRule="exact"/>
              <w:rPr>
                <w:sz w:val="20"/>
                <w:szCs w:val="20"/>
                <w:color w:val="auto"/>
              </w:rPr>
            </w:pPr>
            <w:r>
              <w:rPr>
                <w:rFonts w:ascii="Arial" w:cs="Arial" w:eastAsia="Arial" w:hAnsi="Arial"/>
                <w:sz w:val="17"/>
                <w:szCs w:val="17"/>
                <w:color w:val="auto"/>
              </w:rPr>
              <w:t>Acquisition-related litigation costs</w:t>
            </w:r>
            <w:r>
              <w:rPr>
                <w:rFonts w:ascii="Arial" w:cs="Arial" w:eastAsia="Arial" w:hAnsi="Arial"/>
                <w:sz w:val="22"/>
                <w:szCs w:val="22"/>
                <w:color w:val="auto"/>
                <w:vertAlign w:val="superscript"/>
              </w:rPr>
              <w:t>(1)</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1,054</w:t>
            </w:r>
          </w:p>
        </w:tc>
      </w:tr>
      <w:tr>
        <w:trPr>
          <w:trHeight w:val="229"/>
        </w:trPr>
        <w:tc>
          <w:tcPr>
            <w:tcW w:w="440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Executive severance</w:t>
            </w:r>
            <w:r>
              <w:rPr>
                <w:rFonts w:ascii="Arial" w:cs="Arial" w:eastAsia="Arial" w:hAnsi="Arial"/>
                <w:sz w:val="22"/>
                <w:szCs w:val="22"/>
                <w:color w:val="auto"/>
                <w:vertAlign w:val="superscript"/>
              </w:rPr>
              <w:t>(2)</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4400" w:type="dxa"/>
            <w:vAlign w:val="bottom"/>
          </w:tcPr>
          <w:p>
            <w:pPr>
              <w:ind w:left="240"/>
              <w:spacing w:after="0" w:line="229" w:lineRule="exact"/>
              <w:rPr>
                <w:sz w:val="20"/>
                <w:szCs w:val="20"/>
                <w:color w:val="auto"/>
              </w:rPr>
            </w:pPr>
            <w:r>
              <w:rPr>
                <w:rFonts w:ascii="Arial" w:cs="Arial" w:eastAsia="Arial" w:hAnsi="Arial"/>
                <w:sz w:val="17"/>
                <w:szCs w:val="17"/>
                <w:color w:val="auto"/>
              </w:rPr>
              <w:t>Amortization of acquired intangible assets</w:t>
            </w:r>
            <w:r>
              <w:rPr>
                <w:rFonts w:ascii="Arial" w:cs="Arial" w:eastAsia="Arial" w:hAnsi="Arial"/>
                <w:sz w:val="22"/>
                <w:szCs w:val="22"/>
                <w:color w:val="auto"/>
                <w:vertAlign w:val="superscript"/>
              </w:rPr>
              <w:t>(3)</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215</w:t>
            </w:r>
          </w:p>
        </w:tc>
      </w:tr>
      <w:tr>
        <w:trPr>
          <w:trHeight w:val="230"/>
        </w:trPr>
        <w:tc>
          <w:tcPr>
            <w:tcW w:w="440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Change in fair value of contingent consideration</w:t>
            </w:r>
            <w:r>
              <w:rPr>
                <w:rFonts w:ascii="Arial" w:cs="Arial" w:eastAsia="Arial" w:hAnsi="Arial"/>
                <w:sz w:val="22"/>
                <w:szCs w:val="22"/>
                <w:color w:val="auto"/>
                <w:vertAlign w:val="superscript"/>
              </w:rPr>
              <w:t>(4)</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9"/>
        </w:trPr>
        <w:tc>
          <w:tcPr>
            <w:tcW w:w="4400" w:type="dxa"/>
            <w:vAlign w:val="bottom"/>
          </w:tcPr>
          <w:p>
            <w:pPr>
              <w:ind w:left="240"/>
              <w:spacing w:after="0" w:line="229" w:lineRule="exact"/>
              <w:rPr>
                <w:sz w:val="20"/>
                <w:szCs w:val="20"/>
                <w:color w:val="auto"/>
              </w:rPr>
            </w:pPr>
            <w:r>
              <w:rPr>
                <w:rFonts w:ascii="Arial" w:cs="Arial" w:eastAsia="Arial" w:hAnsi="Arial"/>
                <w:sz w:val="17"/>
                <w:szCs w:val="17"/>
                <w:color w:val="auto"/>
              </w:rPr>
              <w:t>Other non-recurring expenses</w:t>
            </w:r>
            <w:r>
              <w:rPr>
                <w:rFonts w:ascii="Arial" w:cs="Arial" w:eastAsia="Arial" w:hAnsi="Arial"/>
                <w:sz w:val="22"/>
                <w:szCs w:val="22"/>
                <w:color w:val="auto"/>
                <w:vertAlign w:val="superscript"/>
              </w:rPr>
              <w:t>(5)</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2,178</w:t>
            </w: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 (gain) loss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30"/>
        </w:trPr>
        <w:tc>
          <w:tcPr>
            <w:tcW w:w="4400" w:type="dxa"/>
            <w:vAlign w:val="bottom"/>
          </w:tcPr>
          <w:p>
            <w:pPr>
              <w:ind w:left="240"/>
              <w:spacing w:after="0" w:line="229" w:lineRule="exact"/>
              <w:rPr>
                <w:sz w:val="20"/>
                <w:szCs w:val="20"/>
                <w:color w:val="auto"/>
              </w:rPr>
            </w:pPr>
            <w:r>
              <w:rPr>
                <w:rFonts w:ascii="Arial" w:cs="Arial" w:eastAsia="Arial" w:hAnsi="Arial"/>
                <w:sz w:val="17"/>
                <w:szCs w:val="17"/>
                <w:color w:val="auto"/>
              </w:rPr>
              <w:t>Gain on debt</w:t>
            </w:r>
            <w:r>
              <w:rPr>
                <w:rFonts w:ascii="Arial" w:cs="Arial" w:eastAsia="Arial" w:hAnsi="Arial"/>
                <w:sz w:val="22"/>
                <w:szCs w:val="22"/>
                <w:color w:val="auto"/>
                <w:vertAlign w:val="superscript"/>
              </w:rPr>
              <w:t>(6)</w:t>
            </w:r>
          </w:p>
        </w:tc>
        <w:tc>
          <w:tcPr>
            <w:tcW w:w="8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440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Impairment charges</w:t>
            </w:r>
            <w:r>
              <w:rPr>
                <w:rFonts w:ascii="Arial" w:cs="Arial" w:eastAsia="Arial" w:hAnsi="Arial"/>
                <w:sz w:val="22"/>
                <w:szCs w:val="22"/>
                <w:color w:val="auto"/>
                <w:vertAlign w:val="superscript"/>
              </w:rPr>
              <w:t>(7)</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b w:val="1"/>
                <w:bCs w:val="1"/>
                <w:color w:val="auto"/>
              </w:rPr>
              <w:t>Non-GAAP net income (loss)</w:t>
            </w:r>
          </w:p>
        </w:tc>
        <w:tc>
          <w:tcPr>
            <w:tcW w:w="86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4,367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(632)</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3,333</w:t>
            </w:r>
          </w:p>
        </w:tc>
      </w:tr>
      <w:tr>
        <w:trPr>
          <w:trHeight w:val="20"/>
        </w:trPr>
        <w:tc>
          <w:tcPr>
            <w:tcW w:w="4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
        </w:trPr>
        <w:tc>
          <w:tcPr>
            <w:tcW w:w="4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pacing w:after="0" w:line="72" w:lineRule="exact"/>
        <w:rPr>
          <w:sz w:val="20"/>
          <w:szCs w:val="20"/>
          <w:color w:val="auto"/>
        </w:rPr>
      </w:pPr>
    </w:p>
    <w:p>
      <w:pPr>
        <w:ind w:left="740" w:hanging="309"/>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litigation-related expenses incurred in connection with our acquisitions.</w:t>
      </w:r>
    </w:p>
    <w:p>
      <w:pPr>
        <w:spacing w:after="0" w:line="28" w:lineRule="exact"/>
        <w:rPr>
          <w:rFonts w:ascii="Arial" w:cs="Arial" w:eastAsia="Arial" w:hAnsi="Arial"/>
          <w:sz w:val="14"/>
          <w:szCs w:val="14"/>
          <w:color w:val="auto"/>
        </w:rPr>
      </w:pPr>
    </w:p>
    <w:p>
      <w:pPr>
        <w:ind w:left="740" w:hanging="309"/>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executive severance which occurred in connection with management changes.</w:t>
      </w:r>
    </w:p>
    <w:p>
      <w:pPr>
        <w:spacing w:after="0" w:line="14" w:lineRule="exact"/>
        <w:rPr>
          <w:rFonts w:ascii="Arial" w:cs="Arial" w:eastAsia="Arial" w:hAnsi="Arial"/>
          <w:sz w:val="14"/>
          <w:szCs w:val="14"/>
          <w:color w:val="auto"/>
        </w:rPr>
      </w:pPr>
    </w:p>
    <w:p>
      <w:pPr>
        <w:ind w:left="740" w:hanging="309"/>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the amortization of intangible assets attributable to our acquisitions.</w:t>
      </w:r>
    </w:p>
    <w:p>
      <w:pPr>
        <w:spacing w:after="0" w:line="14" w:lineRule="exact"/>
        <w:rPr>
          <w:rFonts w:ascii="Arial" w:cs="Arial" w:eastAsia="Arial" w:hAnsi="Arial"/>
          <w:sz w:val="14"/>
          <w:szCs w:val="14"/>
          <w:color w:val="auto"/>
        </w:rPr>
      </w:pPr>
    </w:p>
    <w:p>
      <w:pPr>
        <w:ind w:left="740" w:hanging="309"/>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change in fair value of contingent consideration recorded in connection with our acquisitions.</w:t>
      </w:r>
    </w:p>
    <w:p>
      <w:pPr>
        <w:spacing w:after="0" w:line="1" w:lineRule="exact"/>
        <w:rPr>
          <w:rFonts w:ascii="Arial" w:cs="Arial" w:eastAsia="Arial" w:hAnsi="Arial"/>
          <w:sz w:val="14"/>
          <w:szCs w:val="14"/>
          <w:color w:val="auto"/>
        </w:rPr>
      </w:pPr>
    </w:p>
    <w:p>
      <w:pPr>
        <w:ind w:left="740" w:hanging="309"/>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one-time third-party professional services fees and costs incurred as part of, and in preparation for, this offering.</w:t>
      </w:r>
    </w:p>
    <w:p>
      <w:pPr>
        <w:spacing w:after="0" w:line="14" w:lineRule="exact"/>
        <w:rPr>
          <w:rFonts w:ascii="Arial" w:cs="Arial" w:eastAsia="Arial" w:hAnsi="Arial"/>
          <w:sz w:val="14"/>
          <w:szCs w:val="14"/>
          <w:color w:val="auto"/>
        </w:rPr>
      </w:pPr>
    </w:p>
    <w:p>
      <w:pPr>
        <w:ind w:left="740" w:hanging="309"/>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one-time loan forgiveness for our unsecured loan under the Paycheck Protection Program in June 2021.</w:t>
      </w:r>
    </w:p>
    <w:p>
      <w:pPr>
        <w:spacing w:after="0" w:line="14" w:lineRule="exact"/>
        <w:rPr>
          <w:rFonts w:ascii="Arial" w:cs="Arial" w:eastAsia="Arial" w:hAnsi="Arial"/>
          <w:sz w:val="14"/>
          <w:szCs w:val="14"/>
          <w:color w:val="auto"/>
        </w:rPr>
      </w:pPr>
    </w:p>
    <w:p>
      <w:pPr>
        <w:ind w:left="760" w:hanging="329"/>
        <w:spacing w:after="0" w:line="284" w:lineRule="auto"/>
        <w:tabs>
          <w:tab w:leader="none" w:pos="7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impairment charges related to certain intangible assets assumed through our acquisition of PolytEDA. See “Management’s Discussion and Analysis of Financial Condition and Results of Operations—Components of Results of Operations—Impairment Charges.”</w:t>
      </w: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20"/>
          </w:cols>
          <w:pgMar w:left="320" w:top="125" w:right="7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Investing in our common stock involves a high degree of risk. You should carefully consider the risks and uncertainties described below, together with all other information in this prospectus, including our audited consolidated financial statements and the related notes and the section of this prospectus titled “Management’s Discussion and Analysis of Financial Condition and Results of Operations,” before investing in our common stock. If any of the following risks are realized, in whole or in part, our business, financial condition, results of operations, and prospects could be materially and adversely affected. In that event, the price of our common stock could decline, and you could lose all or part of your investment. Additional risks and uncertainties not presently known to us or that we currently deem immaterial also may impair our business, financial condition, results of operations, and prospects. The risks described below, and statements found elsewhere in this prospectus, contain forward-looking statements. You should read the explanation of the qualifications and limitations on forward-looking statements discussed under the caption “Special Note Regarding Forward-Looking Statements” beginning on page </w:t>
      </w:r>
      <w:r>
        <w:rPr>
          <w:rFonts w:ascii="Arial" w:cs="Arial" w:eastAsia="Arial" w:hAnsi="Arial"/>
          <w:sz w:val="17"/>
          <w:szCs w:val="17"/>
          <w:i w:val="1"/>
          <w:iCs w:val="1"/>
          <w:u w:val="single" w:color="auto"/>
          <w:color w:val="0000FF"/>
        </w:rPr>
        <w:t>45</w:t>
      </w:r>
      <w:r>
        <w:rPr>
          <w:rFonts w:ascii="Arial" w:cs="Arial" w:eastAsia="Arial" w:hAnsi="Arial"/>
          <w:sz w:val="17"/>
          <w:szCs w:val="17"/>
          <w:i w:val="1"/>
          <w:iCs w:val="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face significant competition from larger companies as well as from third-party providers who may deploy their resources to develop IP solutions internally.</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engaged in a competitive segment of the global semiconductor and photonics industries. Our competitive landscape is characterized by competition from companies that have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compete against larger companies including Synopsys, Inc., or Synopsys, Coventor, Inc., Cadence Design Systems, Inc., Siemens EDA, Ansys, Inc.,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To the extent our revenue is negatively impacted by competitive pressures and reduced pricing, our business could be harmed.</w:t>
      </w:r>
    </w:p>
    <w:p>
      <w:pPr>
        <w:spacing w:after="0" w:line="142"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In addition, our ability to compete in our market is subject to a variety of factors, many of which are beyond our control. In particular, any of the below factors could significantly affect our ability to compete and could harm our business:</w:t>
      </w:r>
    </w:p>
    <w:p>
      <w:pPr>
        <w:spacing w:after="0" w:line="90" w:lineRule="exact"/>
        <w:rPr>
          <w:sz w:val="20"/>
          <w:szCs w:val="20"/>
          <w:color w:val="auto"/>
        </w:rPr>
      </w:pPr>
    </w:p>
    <w:p>
      <w:pPr>
        <w:ind w:left="660" w:hanging="328"/>
        <w:spacing w:after="0" w:line="26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anticipate and lead critical software solution development cycles and technological shifts as driven by our target markets, to innovate rapidly and efficiently and to improve our existing solutions;</w:t>
      </w:r>
    </w:p>
    <w:p>
      <w:pPr>
        <w:spacing w:after="0" w:line="1" w:lineRule="exact"/>
        <w:rPr>
          <w:rFonts w:ascii="Arial" w:cs="Arial" w:eastAsia="Arial" w:hAnsi="Arial"/>
          <w:sz w:val="17"/>
          <w:szCs w:val="17"/>
          <w:color w:val="auto"/>
        </w:rPr>
      </w:pPr>
    </w:p>
    <w:p>
      <w:pPr>
        <w:ind w:left="660" w:hanging="328"/>
        <w:spacing w:after="0" w:line="248"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Decisions by semiconductor companies and/or or OEMs to develop IP internally, rather than license IP from outside vendors due to strategic changes, enhanced internal capability, budget constraints or excess engineering capacity;</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and improve upon our current research and development collaboration agreements;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any competitor substantially increases its engineering and marketing resources to compete with our software solutions;</w:t>
      </w:r>
    </w:p>
    <w:p>
      <w:pPr>
        <w:spacing w:after="0" w:line="7" w:lineRule="exact"/>
        <w:rPr>
          <w:rFonts w:ascii="Arial" w:cs="Arial" w:eastAsia="Arial" w:hAnsi="Arial"/>
          <w:sz w:val="17"/>
          <w:szCs w:val="17"/>
          <w:color w:val="auto"/>
        </w:rPr>
      </w:pPr>
    </w:p>
    <w:p>
      <w:pPr>
        <w:ind w:left="660" w:hanging="328"/>
        <w:spacing w:after="0" w:line="256" w:lineRule="auto"/>
        <w:tabs>
          <w:tab w:leader="none" w:pos="6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challenges of developing, or acquiring externally developed, technology solutions that are adequate and competitive in meeting the rapidly evolving requirements of next-generation design challenges;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expand into established market segments;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compete on the basis of payment terms; and</w:t>
      </w:r>
    </w:p>
    <w:p>
      <w:pPr>
        <w:spacing w:after="0" w:line="7" w:lineRule="exact"/>
        <w:rPr>
          <w:rFonts w:ascii="Arial" w:cs="Arial" w:eastAsia="Arial" w:hAnsi="Arial"/>
          <w:sz w:val="17"/>
          <w:szCs w:val="17"/>
          <w:color w:val="auto"/>
        </w:rPr>
      </w:pPr>
    </w:p>
    <w:p>
      <w:pPr>
        <w:jc w:val="both"/>
        <w:ind w:left="660" w:hanging="328"/>
        <w:spacing w:after="0" w:line="265"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largely on bookings recorded during a quarter, and is difficult to predict.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Any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could adversely affect our customers and vendors, which could have a material adverse effect on our business, financial condition and results of operations.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of operations may be difficult to predict as a result of seasonality.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results of operations also have fluctuated significantly as a result of seasonality. For example, new year celebrations in certain countries in Asia, summer holidays in Europe and the United States, and winter holidays globally have, in the past, resulted in a slowdown in demand for our software solutions in affected locations. The impact of this cyclicality on our business is evident in lower bookings, including software license renewals and revenue in the second and third quarters of certain years as compared to first and fourth quarters of that year. The seasonality of our business is also affected by our customers’ 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 and may cause in the future, fluctuations in our results of operations and financial metrics, and make forecasting our future results of operations and financial metrics more difficult.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Substantial, prolonged economic downturns in key industrial sectors and in major economic regions in which we operate may result in reduced software solution sales and lower revenue growth.</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These economic factors may adversely affect our business by extending sales cycles and reducing revenue.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Terrorist attacks, war and other increased global hostilities, including the ongoing conflict between Russia and Ukraine, pandemics, including the COVID-19 pandemic, and natural disasters have, at times, contributed to widespread uncertainty and speculation in the semiconductor markets. For example, 61% and 59% of our revenue was derived from customers in Asia for the years ended December 31, 2020 and 2021, respectively. During the nine months ended September 30, 2021 and 2022, 62% and 58% of our revenue was derived from customers in Asia, respectively. For the nine months ended September 30, 2021 and 2022, 16.7% and 19.7% of our revenue was derived from our China-based operations.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secure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and photonics industries may limit our ability to maintain or improve our revenue.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semiconductor and photonics industries are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our software solutions. We have experienced downturns in the past and may experience such downturns in the future. For example, the industry experienced a significant downtown in connection with the most recent global recession in 2008, and further experienced a downturn in 2020, which may be prolonged as a result of the continued economic impact of the COVID-19 pandemic.</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downturns have been characterized by diminished product demand, production overcapacity, high inventory levels and accelerated erosion of average selling prices. Recently, downturns in the semiconductor and photonics industries have been attributed to a variety of factors, including the current COVID-19 pandemic, ongoing trade disputes between the United States and China, weakness in demand and pricing for semiconductors across applications and shortages.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also depend on growth in the semiconductor and photonics industries and in the end markets that use our products. Any slowdown in the growth of these industries and end markets could harm our business.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or SoC, ICs,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accelerated in the United States and globally as a result of global supply chain issues, a rise in energy prices, and strong consumer demand. An inflationary environment can increase our cost of labor, energy and other operating costs and could also impact and reduce the number of customers who purchase our software solutions as credit becomes more expensive or unavailable.</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w:t>
      </w:r>
    </w:p>
    <w:p>
      <w:pPr>
        <w:spacing w:after="0" w:line="12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Reduced sales of our customers’ and/or end customers’ products;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effects of catastrophic and other disruptive events at our customers’ and/or end customers’ offices or facilities;</w:t>
      </w:r>
    </w:p>
    <w:p>
      <w:pPr>
        <w:spacing w:after="0" w:line="7" w:lineRule="exact"/>
        <w:rPr>
          <w:rFonts w:ascii="Arial" w:cs="Arial" w:eastAsia="Arial" w:hAnsi="Arial"/>
          <w:sz w:val="17"/>
          <w:szCs w:val="17"/>
          <w:color w:val="auto"/>
        </w:rPr>
      </w:pPr>
    </w:p>
    <w:p>
      <w:pPr>
        <w:jc w:val="both"/>
        <w:ind w:left="660" w:hanging="328"/>
        <w:spacing w:after="0" w:line="251"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costs associated with potential disruptions to our customers’ and/or end customers’ supply chain and other manufacturing and production operations, including to ongoing supply chain issues caused by the current COVID-19 pandemic and similar disruptions that may occur in future;</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deterioration of our customers’ and/or end customers’ financial condition;</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and project cancellations as a result of design flaws in the products developed by our customers and/or end customers;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dedicate the resources necessary to promote and commercialize their products;</w:t>
      </w:r>
    </w:p>
    <w:p>
      <w:pPr>
        <w:spacing w:after="0" w:line="7" w:lineRule="exact"/>
        <w:rPr>
          <w:rFonts w:ascii="Arial" w:cs="Arial" w:eastAsia="Arial" w:hAnsi="Arial"/>
          <w:sz w:val="17"/>
          <w:szCs w:val="17"/>
          <w:color w:val="auto"/>
        </w:rPr>
      </w:pPr>
    </w:p>
    <w:p>
      <w:pPr>
        <w:ind w:left="660" w:hanging="328"/>
        <w:spacing w:after="0" w:line="248" w:lineRule="auto"/>
        <w:tabs>
          <w:tab w:leader="none" w:pos="68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of our customers and/or end customers to adapt to changing technological demands resulting in their products becoming obsolete; and</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failure of our customers’ and/or end customers’ products to achieve market success and gain broad market acceptance.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Any slowdown in the growth of these end markets could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If we are unable to deliver new and innovative software solutions or software license enhancements ahead of rapid technological changes in the market, our revenues could be materially adversely affected.</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have to invest more resources in research and development than anticipated, which could increase our operating expenses and negatively affect our operating results.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w:t>
      </w:r>
    </w:p>
    <w:p>
      <w:pPr>
        <w:spacing w:after="0" w:line="15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may also decide to increase our research and development investment to seize customer or market opportunities, which could negatively impact our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among our customers and within the industries in which we operate may negatively impact our operating results.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Our international sales constitute a substantial portion of our revenue and could be negatively affected by disruptions in international geographies caused by government actions, trade disputes, direct or indirect acts of war or terrorism, international political or economic instability or other similar events.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significant portion of our revenue comes from outside the United States. For example, for the years ended December 31, 2020 and 2021, 70% and 69%, respectively, of our revenue was from international customers.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spacing w:after="0" w:line="11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regulatory or economic conditions.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maintain our offices and/or operations in countries or regions experiencing military, political or social instability;</w:t>
      </w:r>
    </w:p>
    <w:p>
      <w:pPr>
        <w:spacing w:after="0" w:line="13" w:lineRule="exact"/>
        <w:rPr>
          <w:rFonts w:ascii="Arial" w:cs="Arial" w:eastAsia="Arial" w:hAnsi="Arial"/>
          <w:sz w:val="17"/>
          <w:szCs w:val="17"/>
          <w:color w:val="auto"/>
        </w:rPr>
      </w:pPr>
    </w:p>
    <w:p>
      <w:pPr>
        <w:jc w:val="both"/>
        <w:ind w:left="660" w:hanging="328"/>
        <w:spacing w:after="0" w:line="253" w:lineRule="auto"/>
        <w:tabs>
          <w:tab w:leader="none" w:pos="6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jc w:val="both"/>
        <w:ind w:left="660" w:hanging="328"/>
        <w:spacing w:after="0" w:line="252"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spacing w:after="0" w:line="2" w:lineRule="exact"/>
        <w:rPr>
          <w:rFonts w:ascii="Arial" w:cs="Arial" w:eastAsia="Arial" w:hAnsi="Arial"/>
          <w:sz w:val="17"/>
          <w:szCs w:val="17"/>
          <w:color w:val="auto"/>
        </w:rPr>
      </w:pPr>
    </w:p>
    <w:p>
      <w:pPr>
        <w:ind w:left="660" w:right="20" w:hanging="328"/>
        <w:spacing w:after="0" w:line="248" w:lineRule="auto"/>
        <w:tabs>
          <w:tab w:leader="none" w:pos="6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Imposition of tariffs and other barriers and restrictions, including trade tensions such as U.S.-China trade tensions;</w:t>
      </w:r>
    </w:p>
    <w:p>
      <w:pPr>
        <w:spacing w:after="0" w:line="7" w:lineRule="exact"/>
        <w:rPr>
          <w:rFonts w:ascii="Arial" w:cs="Arial" w:eastAsia="Arial" w:hAnsi="Arial"/>
          <w:sz w:val="17"/>
          <w:szCs w:val="17"/>
          <w:color w:val="auto"/>
        </w:rPr>
      </w:pPr>
    </w:p>
    <w:p>
      <w:pPr>
        <w:jc w:val="both"/>
        <w:ind w:left="660" w:hanging="328"/>
        <w:spacing w:after="0" w:line="254" w:lineRule="auto"/>
        <w:tabs>
          <w:tab w:leader="none" w:pos="682"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for substantial penalties and litigation related to violations of a wide variety of laws, treaties and regulations, including labor regulations, export control and anti-corruption regulations (including the U.S. Foreign Corrupt Practices Act of 1977, as amended, and the U.K. Bribery Act);</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 across different geographic areas, time zones and cultures;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diplomatic and trade relationships.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political, legal and economic instability, armed conflict, and civil unrest in the countries in which we and our customers are located;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and costs of maintaining effective data security;</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Inadequate protection of our IP;</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Nationalization and expropriation;</w:t>
      </w:r>
    </w:p>
    <w:p>
      <w:pPr>
        <w:spacing w:after="0" w:line="7" w:lineRule="exact"/>
        <w:rPr>
          <w:rFonts w:ascii="Arial" w:cs="Arial" w:eastAsia="Arial" w:hAnsi="Arial"/>
          <w:sz w:val="17"/>
          <w:szCs w:val="17"/>
          <w:color w:val="auto"/>
        </w:rPr>
      </w:pPr>
    </w:p>
    <w:p>
      <w:pPr>
        <w:ind w:left="660" w:hanging="328"/>
        <w:spacing w:after="0" w:line="248" w:lineRule="auto"/>
        <w:tabs>
          <w:tab w:leader="none" w:pos="6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Restrictions on the transfer of funds to and from foreign countries, including withholding taxes and other potentially negative tax consequences;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Unfavorable and/or changing foreign tax treaties and policies;</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exposure to general market and economic conditions outside of the United States; and</w:t>
      </w:r>
    </w:p>
    <w:p>
      <w:pPr>
        <w:spacing w:after="0" w:line="14" w:lineRule="exact"/>
        <w:rPr>
          <w:rFonts w:ascii="Arial" w:cs="Arial" w:eastAsia="Arial" w:hAnsi="Arial"/>
          <w:sz w:val="17"/>
          <w:szCs w:val="17"/>
          <w:color w:val="auto"/>
        </w:rPr>
      </w:pPr>
    </w:p>
    <w:p>
      <w:pPr>
        <w:ind w:left="660" w:right="20" w:hanging="328"/>
        <w:spacing w:after="0" w:line="264"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Currency exchange rate fluctuations and the resulting effect on our revenue and expenses, and the cost and risk of entering into hedging transactions if we chose to do so in the future.</w:t>
      </w:r>
    </w:p>
    <w:p>
      <w:pPr>
        <w:spacing w:after="0" w:line="13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doing business in China.</w:t>
      </w:r>
    </w:p>
    <w:p>
      <w:pPr>
        <w:spacing w:after="0" w:line="16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face increased regulatory uncertainties with respect to our China-based operations, including our wholly foreign-owned enterprise operating in China, any joint ventures we may form or contribute IP or other resources to in the future and sales to China-based customers.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years ended December 31, 2020 and 2021, 17.2% and 18.3%, respectively, of our revenue was derived from our China-based operations. For the nine months ended September 30, 2021 and 2022, 16.7% and 19.7% of our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was derived from our China-based operations. Our operating expenses in China consist primarily of compensation, benefits, and overhead. Our operating expenses in China were $1.4 million and $2.3 million, respectively, for the years ended December 31, 2020 and 2021, and $1.4 million and $1.9 million, respectively, for the nine months ended September 30, 2021 and 2022.</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or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We are still evaluating these complex new rules and are unable to quantitatively estimate any impacts at this time. 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spacing w:after="0" w:line="13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Downturns or volatility in general economic conditions, including as a result of the current COVID-19 pandemic or any other outbreak of an infectious disease, could harm our business.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revenue, gross margin, and ability to achieve and maintain profitability depend significantly on general economic conditions and the demand for software solutions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we have grown, we have become increasingly subject to the risks arising from adverse changes in domestic and global economic conditions. As a result of the current economic slowdown, many companies are delaying or reducing technology purchases, which has had an impact on our visibility into the closing of new business, as opposed to our recurring business. This slowdown has also contributed to, and may continue to contribute to, reductions in sales, longer sales cycles, and increased price pressures, which could adversely affect our business, financial condition, and results of operations.</w:t>
      </w:r>
    </w:p>
    <w:p>
      <w:pPr>
        <w:spacing w:after="0" w:line="13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Since we operate on a global basis, our operations could also be disrupted by geopolitical conditions, trade disputes, international boycotts and sanctions, political and social instability, acts of war, terrorist activity or other similar events.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example, recently Russia initiated significant military action against Ukraine. In response,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board of directors is responsible for overseeing the risks to our business, including risks related to the ongoing conflict between Russia and Ukraine. Such risks include an increased risk of cybersecurity attacks, sanctions, risks related to our employees, service-providers and operations in the affected regions and supply chain disruptions that may affect our customers globally. While none of our revenue is derived from Russia or Ukraine, we have employees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based in both countries and had, prior to the beginning of the conflict, offices in both countries. In response to the ongoing conflict, we recently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As a result of economic uncertainties and disruption created by the Russian invasion, we recorded an impairment charge of $0.6 million associated with intangible assets assumed in connection with our acquisition of PolytEDA, which is based in Ukraine and held by our Ukrainian subsidiary. Unless and until the conflict in Ukraine is stabilized, we do not intend to reopen office locations in either country.</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September 30, 2022, we had 7 employees in Russia and 10 employees and 2 contractors in Ukraine, all of which were working remotely. If our employees in Russia or Ukraine become subject to a military draft or are unable to work due to the ongoing conflict, the development of our next generation software could be delayed, which could negatively impact our business.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Security and Privacy—If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It is not possible to predict the broader consequences of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the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rely on our international sales channels force to sell a substantial portion of our software solutions, and any adverse fluctuations in exchange rates could adversely affect our performance.</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 the years ended December 31, 2020 and 2021, respectively, approximately 70% and 69% of our revenue came through our international sales channels and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stronger American dollar which has the potential of impacting our ability to compete internationally, and, as a result, our future financial results may be impacted by fluctuations in exchange rates, including Korean Won and Japanese Yen.</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additional capital in the future may be limited and could prevent us from executing our growth strategy.</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ability to operate and expand our business depends on the availability of adequate capital, which in turn depends on cash flow generated by our business and the availability of borrowings under our outstanding loans, line of credit and future debt, equity or other applicable financing arrangements. We believe that our cash flow from operations,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existing cash, availability under our existing credit line and the anticipated net proceeds of this offering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acceptance of our SIP and other solutions, and our IP deployment solutions;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need to adapt to changing technologies and technical requirements;</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existence of opportunities for expansion; and</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access to and availability of sufficient management, technical, marketing and financial personnel.</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bugs or defects could expose us to liability and harm our reputation and we could lose market share.</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There can be no assurance that bugs or defects will not be found in new or enhanced products after commencement of commercial shipments. Product bugs or defects, including those resulting from third-party licensors, could affect the performance or interoperability of our products, could delay the development or release of new products or new versions of products and could adversely affect market acceptance or perception of our products.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spacing w:after="0" w:line="12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Our employees, consultants and third-party providers have in the past and may in the future engage in misconduct that materially adversely affects us.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use certain third-party services to manage and operate our business, and any failure or interruption in the services provided by these third parties could adversely affect our business, financial condition and results of operations.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use a number of third-party services to manage and operate our business, including software to assist our sales and marketing teams and our finance and accounting teams. These services are critical to our ability to increase our sales to customers, operate, and maintain our platform, and accurately maintain books and records. Any disruption in these services could impair our ability to execute on our operating plan and disrupt our business. Further, if these services cease to be available to us on commercially reasonable terms, or at all, we may be required to use additional or alternative services, or to develop additional capabilities within our business, any of which could require significant resources and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Periodic reorganizations and adjustments to our sales force could temporarily impact productivity and adversely disrupt our sales.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in actual sales activity from sales forecasts could adversely affect our business, financial condition and results of operations.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that forecasted could cause us to plan or to budget incorrectly and, therefore, could adversely affect our business, financial condition and results of operations.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realize the anticipated benefits of our acquisitions or investments, our business could be disrupted because of acquisitions or investments and, depending on how we finance such acquisitions or investments, we could use significant amounts of cash.</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nine such acquisitions of companies or strategic assets, and in the future, from time to time we will likely seek to acquire or invest in businesses, products, or technologies.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investments involve numerous risks, including:</w:t>
      </w:r>
    </w:p>
    <w:p>
      <w:pPr>
        <w:spacing w:after="0" w:line="18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complete the acquisition or investment on commercially acceptable terms;</w:t>
      </w:r>
    </w:p>
    <w:p>
      <w:pPr>
        <w:spacing w:after="0" w:line="23" w:lineRule="exact"/>
        <w:rPr>
          <w:rFonts w:ascii="Arial" w:cs="Arial" w:eastAsia="Arial" w:hAnsi="Arial"/>
          <w:sz w:val="17"/>
          <w:szCs w:val="17"/>
          <w:color w:val="auto"/>
        </w:rPr>
      </w:pPr>
    </w:p>
    <w:p>
      <w:pPr>
        <w:ind w:left="660" w:hanging="328"/>
        <w:spacing w:after="0" w:line="248" w:lineRule="auto"/>
        <w:tabs>
          <w:tab w:leader="none" w:pos="6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to obtain timely approvals from governmental authorities under competition and antitrust laws and the resulting delay in consummating the acquisition;</w:t>
      </w:r>
    </w:p>
    <w:p>
      <w:pPr>
        <w:spacing w:after="0" w:line="1" w:lineRule="exact"/>
        <w:rPr>
          <w:rFonts w:ascii="Arial" w:cs="Arial" w:eastAsia="Arial" w:hAnsi="Arial"/>
          <w:sz w:val="17"/>
          <w:szCs w:val="17"/>
          <w:color w:val="auto"/>
        </w:rPr>
      </w:pPr>
    </w:p>
    <w:p>
      <w:pPr>
        <w:ind w:left="660" w:hanging="328"/>
        <w:spacing w:after="0" w:line="264"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risk that we may have difficulty incorporating the acquired technologies or products with our existing software solutions and maintaining uniform standards, controls, procedures, and policies;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660" w:hanging="328"/>
        <w:spacing w:after="0" w:line="255" w:lineRule="auto"/>
        <w:tabs>
          <w:tab w:leader="none" w:pos="6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ind w:left="660" w:hanging="328"/>
        <w:spacing w:after="0" w:line="252" w:lineRule="auto"/>
        <w:tabs>
          <w:tab w:leader="none" w:pos="6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unforeseen difficulties in legal entity merger integration activities that may result in legal and tax exposures or the loss of anticipated tax benefits;</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 of our ongoing businesses and diversion of management attention;</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our relationships with current and new employees, customers, partners and distributors could be impaired;</w:t>
      </w:r>
    </w:p>
    <w:p>
      <w:pPr>
        <w:spacing w:after="0" w:line="7" w:lineRule="exact"/>
        <w:rPr>
          <w:rFonts w:ascii="Arial" w:cs="Arial" w:eastAsia="Arial" w:hAnsi="Arial"/>
          <w:sz w:val="17"/>
          <w:szCs w:val="17"/>
          <w:color w:val="auto"/>
        </w:rPr>
      </w:pPr>
    </w:p>
    <w:p>
      <w:pPr>
        <w:ind w:left="660" w:right="20" w:hanging="328"/>
        <w:spacing w:after="0" w:line="248" w:lineRule="auto"/>
        <w:tabs>
          <w:tab w:leader="none" w:pos="6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integrating the acquired entities, products or technologies and overcoming any unforeseen technical problems with the acquired products or technologies;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operating the acquired business profitably;</w:t>
      </w:r>
    </w:p>
    <w:p>
      <w:pPr>
        <w:spacing w:after="0" w:line="13" w:lineRule="exact"/>
        <w:rPr>
          <w:rFonts w:ascii="Arial" w:cs="Arial" w:eastAsia="Arial" w:hAnsi="Arial"/>
          <w:sz w:val="17"/>
          <w:szCs w:val="17"/>
          <w:color w:val="auto"/>
        </w:rPr>
      </w:pPr>
    </w:p>
    <w:p>
      <w:pPr>
        <w:ind w:left="660" w:hanging="328"/>
        <w:spacing w:after="0" w:line="253" w:lineRule="auto"/>
        <w:tabs>
          <w:tab w:leader="none" w:pos="709"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preserving and transitioning important licensing, research and development, and customer, distributor and supplier relationships;</w:t>
      </w:r>
    </w:p>
    <w:p>
      <w:pPr>
        <w:ind w:left="660" w:hanging="328"/>
        <w:spacing w:after="0" w:line="24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difficulties in implementing the appropriate controls and procedures to ensure the acquired entity is in compliance with the Sarbanes-Oxley Act;</w:t>
      </w:r>
    </w:p>
    <w:p>
      <w:pPr>
        <w:spacing w:after="0" w:line="1" w:lineRule="exact"/>
        <w:rPr>
          <w:rFonts w:ascii="Arial" w:cs="Arial" w:eastAsia="Arial" w:hAnsi="Arial"/>
          <w:sz w:val="17"/>
          <w:szCs w:val="17"/>
          <w:color w:val="auto"/>
        </w:rPr>
      </w:pPr>
    </w:p>
    <w:p>
      <w:pPr>
        <w:ind w:left="660" w:right="20" w:hanging="328"/>
        <w:spacing w:after="0" w:line="252"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associated with entering lines of business or geographies in which we have no or limited prior experience; and</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unanticipated costs, expenses or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future acquisitions or investments may result in:</w:t>
      </w:r>
    </w:p>
    <w:p>
      <w:pPr>
        <w:spacing w:after="0" w:line="18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issuances of dilutive equity securities, which may be at a discount to market price;</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use of significant amounts of cash;</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incurrence of debt;</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assumption of significant liabilities;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unfavorable financing terms;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large one-time expenses; and</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creation of certain intangible assets, including goodwill, the write-down of which may result in significant charges to earnings.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Any of these factors could have a material adverse effect on our business, financial condition and results of operations.</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and our recruiting and retention efforts may be negatively impacted by restrictions on travel and business activity due to the COVID-19 pandemic. Additionally, efforts to recruit and retain qualified employees could be costly and negatively impact our operating expenses.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Historically we have issued equity awards as a key component of our overall compensation. If we are unable to grant attractive equity-based packages in the future, it could limit our ability to attract and retain key employees.</w:t>
      </w:r>
    </w:p>
    <w:p>
      <w:pPr>
        <w:spacing w:after="0" w:line="11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order to succeed in executing our business plan, we will need to manage our growth effectively as we make significant investments in research and development and sales and marketing and expand our operations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continue to grow and to meet our ongoing obligations as a public company, we must continue to expand our operational, engineering, accounting and financial systems, procedures, controls, personnel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COVID-19 pandemic has affected our business and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COVID-19 pandemic and efforts to control its spread have significantly curtailed the movement of people, goods, and services worldwide. In light of the uncertain situation relating to the spread of COVID-19, we took precautionary measures intended to minimize the risk of the virus to our employees, our customers, and the communities in which we operate. These measures included modifications to employee travel policies, office closures when and as employees are advised to work from home, and other similar measures, some of which are still in place.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the future effects of the COVID-19 pandemic are unpredictable, the impact and repercussions could be more prolonged and significant in the future. These possible disruptions could result in further reductions to capital expenditure budgets, delayed purchasing decisions, longer sales cycles, extended payment terms or missed payments, and postponed or canceled projects, any of which would negatively impact our business and operating results, including revenue and cash flows. We cannot predict the long-term impact that the COVID-19 pandemic may have on our business and cannot guarantee that it will not be materially negative. The ongoing effects of the COVID-19 pandemic and/or the precautionary measures that we have adopted may create operational and other challenges, any of which could harm our business and results of operations.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COVID-19 pandemic has had, and may continue to have, adverse effects on economies and financial markets globally, leading to an economic downturn, which may decrease technology spending generally and could adversely affect demand for our services. It is not possible at this time to estimate the full impact that COVID-19 will have on our business, as the impact will depend on future developments, the emergence of additional strains and subsequent effects of the repercussions, which are highly uncertain and cannot be predicted.</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 the extent the COVID-19 pandemic adversely affects our business, financial condition and results of operations, it may also have the effect of heightening many of the other risks described in this “Risk Factors” section, including but not limited to, those related to our ability to increase sales to existing and new customers due to shifting demand, our performance in international markets, our ability to continue to perform on existing contracts, develop and deploy new technologies and expand our marketing capabilities and sales organization.</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received a Paycheck Protection Program loan, and our application for the PPP Loan and loan forgiveness could in the future be determined to have been impermissible or could result in damage to our reputation.</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May 2020, we received an unsecured loan in the amount of $2.3 million under the Paycheck Protection Program, or the PPP Loan. On June 29, 2021, the PPP Loan was forgiven. The Paycheck Protection Program was established under the Coronavirus Aid, Relief, and Economic Security Act, or the CARES Act, and is administered by the U.S. Small Business Administration, or the SBA.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 and may have an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estimates of market opportunity and forecasts of market growth may prove to be inaccurate.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included in this prospectus relating to the size and expected growth of the target market and market demand may also prove to be inaccurate. For example, Grand View Research's estimations for the size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2021 and 2030 global EDA market and the growth thereof are based on assumptions, including as to the future growth of the integrated circuits and electronic manufacturing markets, and the continued advancement of technology in those industries that may prove to be inaccurate or incorrect. In addition, the estimated global EDA market may not materialize in the timeframe we expect, if ever, and even if the markets meet the estimates presented in this prospectus,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14"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have predominantly developed our proprietary technology and other intellectual property internally, through development by our employees and independent contractors and externally, including through our research institution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spacing w:after="0" w:line="35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If we are unable to protect our proprietary technology and inventions through trade secrets, our competitive position and financial results could be adversely affected.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conducting our business, we and the third parties upon which we rely routinely collect and store sensitive data, including proprietary technology, trade secrets, personal information, and other confidential information about our business and our customers, suppliers, and business partners. The secure processing, maintenance and transmission of this information is critical to our operations and business strategy.</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Increasingly, companies are subject to a wide variety of threats to their networks, data and information technology systems. Such threats are prevalent, continue to rise, are increasingly difficult to detect, and come from a variety of sources, including traditional computer “hackers,” threat actors, “hacktivists,” organized criminal threat actors, personnel (such as employee theft of misuse), and sophisticated nation-state and nation-state supported actors. These threats create risks for our, and our third-party service providers’, products and services, information technology systems, internal networks, infrastructure, and cloud deployed products and the information each stores and processes (such products, services, systems, networks, infrastructure, cloud resources, and information collectively, Resources). We, and our third-party service providers, may be subject to disruptions or security breaches of our Resources caused by ransomware, supply chain attacks, malicious code, malware, denial of service attacks, software bugs, software or hardware failures, illegal hacking, criminal fraud or impersonation, acts of vandalism or terrorism, actions or failure to act by our employees or other with access to our network, or other similar threats. We and our third-party service providers are also subject to system malfunctions, natural disasters, public health epidemics, war or military conflicts, telecommunication and electrical failures.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retaliatory cyber-attacks that could materially disrupt our systems and operations, supply chain, and ability to provide our services. Additionally, future or past business transactions could expose us to additional security risks and vulnerabilities, as our Resources could be negatively affected by vulnerabilities present in acquired or integrated entities’ systems and technologies.</w:t>
      </w:r>
    </w:p>
    <w:p>
      <w:pPr>
        <w:spacing w:after="0" w:line="15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Although we have implemented security measures to prevent such disruptions, security breaches, cyber-attacks, and vulnerabilities our Resources have been and may in the future be compromised by the aforementioned or similar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threats, and result in unauthorized, unlawful, or accidental acquisition, modification, destruction, loss, alteration, encryption, disclosure of, or access to our Resources, or the third parties upon which we rely. Additionally, our ability to monitor these third parties’ information security practices is limited. If these third parties do not have adequate information security measures in place and experience a disruption, security breach or cyber-attack, we could experience adverse consequences. Our security measures, or those of our third-party service providers, may not timely detect or prevent such disruptions, security breaches, cyber-attacks, or vulnerabilities in all instances. The costs to us to reduce the risk of or alleviate such disruptions, security breaches, cyber-attacks and vulnerabilities could be significant.</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applicable data privacy and security obligations may require us to notify relevant stakeholders of certain disruptions, security breaches and cyber-attacks. Such disclosures are costly, and the disclosure or the failure to comply with such requirements could lead to adverse consequences.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Furthermore, any type of disruption, security breach, cyber-attack, or vulnerability, whether experienced by us or a third-party upon which we rely, could harm our reputation or deter existing or prospective customers from using our software solutions and services, increase our reporting requirements once we become a public company and/or oversight, increase our operating expenses in order to contain and remediate the incident, expose us to unbudgeted or uninsured liability, disrupt our operations, divert management focus away from other priorities, result in litigation (including class claims), regulatory scrutiny (such as investigations, audits, or inspections) or restrictions on processing sensitive information (including personal information), result in the imposition of penalties and fines under state, federal and foreign laws or by or other adverse consequences.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our cyber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3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spacing w:after="0" w:line="141"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third-party licenses may need to be renegotiated or renewed from time to time, or we may need to obtain new licenses in the future. Some of these licenses may also be terminated by the counterparty for convenience with limited notice to us. Third parties may 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“—If we are unable to protect our proprietary technology and inventions through patents and other intellectual property rights, our ability to compete successfully and our financial results could be adversely impacted.”</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We are subject to stringent and changing privacy and security laws, regulations, standards, policies, and contractual obligations related to privacy, data protection, and information security. Our actual or perceived failure to comply with such obligations could lead to government enforcement actions, a disruption of our services, private litigation, changes to our business practices, increased costs of operations, adverse publicity, limitations on the use or adoption of our services, and other negative effects on our operating results and overall harm to our business.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 regular part of our business, we collect, store, use, share and otherwise process information about individuals, including personal information and/or other confidential information from our customers. Our handling of such information is subject to a variety of evolving privacy and security laws and regulations, including regulation by various government agencies, such as the U.S. Federal Trade Commission and various state, local, and foreign governments. These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are subject to the terms of our internal and external privacy and security policies, representations, certifications, standards, publications, contracts and other obligations related to privacy and security. These and other obligations could require us to incur additional costs to achieve compliance, limit our competitiveness, necessitate the acceptance of more onerous obligations in our contracts, restrict our ability to use, store, transfer, and process information, impact our ability to process or use information in order to support the provision of our services, affect our ability to offer our services in certain locations, result in increased expenses, reduce overall demand for our services, and make it more difficult to meet expectations of relevant stakeholders.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United States, both the federal and various state governments, as well as local governments, have adopted or are considering, laws, or regulations governing the collection, distribution, use, storage and other processing of information collected from or about individuals, households, or devices. A range of enforcement agencies exist at both the state and federal levels that can enforce these laws and regulations. These laws and regulations may apply to our activities, including, for example, state data breach notification laws, state personal information privacy laws, and federal and state consumer protection laws.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example, California enacted the California Consumer Privacy Act, or CCPA, which became operative on January 1, 2020. Additionally, although not effective until January 1, 2023, the California Privacy Rights Act, or CPRA, which expands and amends the CCPA, was passed on November 3, 2020. The CCPA, as amended by the CPRA, requires covered businesses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and CPRA provide for civil penalties for violations, as well as a private right of action for security breaches that may increase security breach litigation. Further, Virginia enacted the Virginia Consumer Data Protection Act, or VCDPA, effective January 1, 2023, Colorado recently passed the Colorado Privacy Rights Act, or CPA, effective July 1, 2023, Connecticut passed the Connecticut Data Privacy Act, or CDPA, effective July 1, 2023, and Utah recently passed the Utah Consumer Privacy Act, or UCPA, effective December 31, 2023. These laws demonstrate our vulnerability to the evolving regulatory environment related to personal information and may increase our compliance costs and potential liability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Several foreign jurisdictions, including the European Union, or EU, United Kingdom, or UK, China, and others, also have laws and regulations which apply more broadly to the collection, use, storage, disclosure, security, transfer, and other processing of various types of data, including data that identifies or may be used to identify an individual. For example, we are subject to the EU General Data Protection Regulation, or EU GDPR, the EU GDPR as it forms part of UK law by virtue of section 3 of the European Union (Withdrawal) Act 2018, or UK GDPR, and other EU member state implementing legislation includes stringent operational requirements for the use of personal data. For example, under the EU GDPR we may be subject to fines of up to €20 million or up to 4% of the total worldwide annual group turnover of the preceding financial year (whichever is higher) for major violations and up to the greater of £17.5m or up to 4% of annual global revenues in respect of the UK GDPR. In addition to the foregoing, a breach of the EU GDPR or UK GDPR could result in regulatory investigations, reputational damage, orders to cease/ change our processing of our data, enforcement notices, assessment notices (for a compulsory audit), and/or other corrective action, such as class action brought by classes of data subjects or by consumer protection organizations authorized at law to represent their interests. Additionally, we also target customers in Asia and have operations in China, Korea, Japan, Taiwan and Singapore and may be subject to new and emerging data privacy regimes in Asia, including China’s Personal Information Protection Law, Japan’s Act on the Protection of Personal Information, and Singapore’s Personal Data Protection Act.</w:t>
      </w:r>
    </w:p>
    <w:p>
      <w:pPr>
        <w:spacing w:after="0" w:line="3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ordinary course of business, we may transfer personal data from the EU, the UK and other jurisdictions to the United States or other countries. The EU, UK, and other jurisdictions have enacted laws regulating the transfer of personal data to other countries, and, in particular, the EU and UK have significantly restricted the transfer of personal data to the United States. Other jurisdictions may adopt similarly stringent interpretations of their cross-border data transfer laws. Although there are currently various mechanisms that may be used to transfer personal data from the EU and UK to the United States, such as standard contractual clauses and related addenda,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we could face significant consequences, including restricting our operations or relocating part of or all of our business to other jurisdictions and increased exposure to regulatory actions, substantial fines, and injunctions against processing or transferring personal data. Some European regulators have prevented companies from transferring personal data out of Europe.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to privacy and security laws and regulations, we may be contractually subject to industry standards adopted by industry groups and may become subject to such obligations in the future. We may also be bound by contractual obligations related to privacy and security, and our efforts to comply with such obligations may not be successful. For example, certain privacy laws, such as the GDPR and the CCPA, require our customers to impose specific contractual restrictions on their service providers. We may publish privacy policies, marketing materials and other statements, such as compliance with certain certifications or self-regulatory principles, regarding privacy and security. If these policies, materials or statements are found to be deficient, lacking in transparency, deceptive, unfair,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or misrepresentative of our practices, we may be subject to investigation, enforcement actions by regulators or other adverse consequences.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software solutions and features and could subject us to increased compliance obligations and regulatory scrutiny.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Although we make reasonable efforts to comply with all applicable data protection laws and regulations, our interpretations and such efforts may have been or may prove to be insufficient or incorrect. The effects of any applicable U.S. state, U.S. federal and foreign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could be costly, time consuming, distracting to management, and cause reputational harm. Any actual or perceived failure to comply with these and other data protection and privacy laws and regulations could result in regulatory scrutiny and litigation or the imposition of consent orders, resolution agreements, requirements to take particular actions with respect to training, policies or other activities, inability to process personal data, or to operate in certain jurisdictions, and civil and criminal penalties, including fines, which could harm our business, as well as other adverse consequences. In addition, we or our third-party service providers could be required to fundamentally change our business activities and practices or modify our software solutions and services, which could harm our or our third-party service providers’ business. Any of the foregoing could result in additional cost and liability to us, damage our reputation, inhibit sales, and harm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Litigation</w:t>
      </w:r>
    </w:p>
    <w:p>
      <w:pPr>
        <w:spacing w:after="0" w:line="11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may be subject to litigation, regardless of success or merit, that could cause us to incur substantial expenses, reduce our sales, and divert the efforts of our management and other personnel.</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ability to compete successfully depends in part on our ability to commercialize our intellectual property solutions without infringing the patent, trade secret, trademark, copyright, or other intellectual property rights of others.</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w:t>
      </w: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the event that any third party succeeds in asserting a valid claim against us or any of our customers, we could be forced to do one or more of the following:</w:t>
      </w:r>
    </w:p>
    <w:p>
      <w:pPr>
        <w:spacing w:after="0" w:line="118" w:lineRule="exact"/>
        <w:rPr>
          <w:sz w:val="20"/>
          <w:szCs w:val="20"/>
          <w:color w:val="auto"/>
        </w:rPr>
      </w:pPr>
    </w:p>
    <w:p>
      <w:pPr>
        <w:ind w:left="660" w:hanging="328"/>
        <w:spacing w:after="0" w:line="262"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discontinue using trademarks that allegedly infringe the trademarks of others;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stop receiving payment from a customer that can no longer sell the end-product if it contains allegedly infringing intellectual property;</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 to develop non-infringing technologies, which may be expensive and not be feasible;</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 substantial monetary damages to the party whose intellectual property rights we may be found to be infringing; and/or</w:t>
      </w:r>
    </w:p>
    <w:p>
      <w:pPr>
        <w:spacing w:after="0" w:line="13"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our customers could be required to seek licenses to the infringed technology that may not be available on commercially reasonable terms, if at all.</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dispute regarding our intellectual property may require us to indemnify customers, the cost of which could harm our business.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Controlled Company</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Upon completion of this offering, we will be a “controlled company” within the meaning of the Nasdaq listing rules and as such are exempt from certain corporate governance requirements.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 result of Ms. Ngai-Pesic and the SMIK Grantor Retained Annuity Trust, or SMIK Trust, collectively holding more than 50% of the voting power of our company, following the completion of this offering, we will be a “controlled company” within the meaning of the Nasdaq listing rules. Therefore, we are not required to comply with certain corporate governance rules that would otherwise apply to us as a listed company on Nasdaq, including the requirement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this offering, we intend to utilize some or all of these exemptions. As a result,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the SMIK Trust differ from those of our other stockholders, it is possible that the other stockholders might not be afforded such protections as might exist if our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board of directors, or our committees, were required to have a majority, or be composed exclusively, of directors who were independent of Ms. Ngai-Pesic and the SMIK Trust or our management.</w:t>
      </w:r>
    </w:p>
    <w:p>
      <w:pPr>
        <w:spacing w:after="0" w:line="118"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As long as we are a controlled company, your ability to influence matters requiring stockholder approval will be limited, and the interests of our controlling shareholder may conflict with or differ from your interests as a stockholder</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Following the completion of this offering, Ms. Ngai-Pesic will own shares of our common stock and the SMIK Trust, of which Ms. Ngai-Pesic and members of her immediate family are beneficiaries, will own shares of our common stock, collectively representing approximately % of our total outstanding common stock, assuming the underwriters do not exercise their over-allotment option, and approximately % if the underwriters exercise their over-allotment option in full. For so long as Ms. Ngai-Pesic and the SMIK Trust continue</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to collectively hold at least 50% of our outstanding common stock, they will be able to elect the members of our board of directors and could at any time replace our entire board of directors.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until such time as Ms. Ngai-Pesic and the SMIK Trust and their successors in interest collectively own less than a majority of the shares of our common stock then outstanding, Ms. Ngai-Pesic and the SMIK Trust will have the ability to take stockholder action without the vote of any other stockholder, and investors in this offering will not be able to affect the outcome of any stockholder vote during this period. As a result, Ms. Ngai-Pesic and the SMIK Trust will have the ability to control all matters affecting us, including:</w:t>
      </w:r>
    </w:p>
    <w:p>
      <w:pPr>
        <w:spacing w:after="0" w:line="138" w:lineRule="exact"/>
        <w:rPr>
          <w:sz w:val="20"/>
          <w:szCs w:val="20"/>
          <w:color w:val="auto"/>
        </w:rPr>
      </w:pPr>
    </w:p>
    <w:p>
      <w:pPr>
        <w:ind w:left="660" w:right="20" w:hanging="328"/>
        <w:spacing w:after="0" w:line="262"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through our board of directors, any determination with respect to our business plans and policies, including the appointment and removal of our officers;</w:t>
      </w: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determinations with respect to mergers and other business combinations;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acquisition or disposition of assets;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financing activities;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allocation of business opportunities that may be suitable for us;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payment of dividends on our common stock; and</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shares available for future issuance and also issuance under our stock plans.</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Ms. Ngai-Pesic and the SMIK Trust’s collective voting control may discourage transactions involving a change of control of us, including transactions in which you as a holder of our common stock might otherwise receive a premium for your shares over the then current market price.</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Ms. Ngai-Pesic and the SMIK Trust are not prohibited from selling a controlling interest in us to a third party and may do so without your approval and without providing for a purchase of your shares of common stock. Accordingly, your shares of common stock may be worth less than they would be if Ms. Ngai-Pesic and the SMIK Trust did not maintain voting control over us.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interests of Ms. Ngai-Pesic and the SMIK Trust could conflict with or differ from your interests as a holder of our common stock. For example, the concentration of ownership held by Ms. Ngai-Pesic and the SMIK Trust could delay, defer or prevent a change of control of us or impede a merger, takeover or other business combination that you as a stockholder may otherwise view favorably. So long as Ms. Ngai-Pesic and the SMIK Trust continue to beneficially own a significant amount of our equity, even if such amount is less than 50%, they may continue to be able to strongly influence or effectively control our decisions.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inability to resolve any disputes that arise between us and Ms. Ngai-Pesic with respect to our past, future and ongoing relationships may adversely affect our operating results.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entered into the March 2022 Loan and the 2022 Credit Line with Ms. Ngai-Pesic. As of September 30, 2022, $0.5 million in principal was outstanding under the March 2022 Loan, which was issued on March 30, 2022 pursuant to a promissory note and bears interest at a rate equal to 3.25% per annum, and we had drawn down $2.0 million from the 2022 Credit Line. We also lease several office facilities from entities controlled by Ms. Ngai-Pesic pursuant to which we recorded a rent expense of $0.4 million during the years ended December 31, 2020 and 2021, and $0.3 million during the nine months ended September 30, 2022. Because we are controlled by Ms. Ngai-Pesic and the SMIK Trust, we may not have the leverage to negotiate extensions or amendments to our agreements on terms as favorable to us compared to those we would negotiate with an unaffiliated third party. See “Certain Relationships and Related Party Transactions” and “Management’s Discussion and Analysis of Financial Condition and Results of Operations—Liquidity and Capital Resources.”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More generally, disputes may arise between Ms. Ngai-Pesic and us in a number of areas relating to our past and ongoing relationships. We may not be able to resolve any potential conflicts, and even if we do, the resolution may be less favorable than if we were dealing with an unaffiliated party.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w:t>
      </w:r>
    </w:p>
    <w:p>
      <w:pPr>
        <w:spacing w:after="0" w:line="11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or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July and October 2022, we also filed voluntary disclosures with OFAC regarding potential violations of OFAC sanctions programs, specifically the download of certain Company software modules by users in U.S. embargoed countries. These voluntary disclosures remain pending before BIS and OFAC and if either organization chose to bring an enforcement action against us in relation to such potential violations, such actions could result in the imposition of significant penalties against the Company.</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Pending or future investigations or litigation could have a material adverse effect on our results of operations and our stock price.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 For example, in December 2020, Silvaco, Inc., one of our subsidiaries, filed suit against Ole Christian Andersen et al., or Andersen, in California Superior Court for the County of Santa Clara seeking declaratory relief related to a dispute concerning the interpretation of an earnout agreement with Andersen in connection with the acquisition of the shares of Nangate Denmark ApS, or Nangate. In January 2022, Andersen filed a third amended cross-complaint against Silvaco, Inc. and certain of its board members alleging breach of contract, fraud, and unfair business practices and is seeking $20 million in damages, along with punitive damages. Discovery in the matter is ongoing and Silvaco, Inc. intends to contest this matter vigorously. In August 2021, Aldini AG filed suit against Silvaco, Inc. in the United States District Court for the Northern District of California alleging various tort claims against Silvaco, Inc., Silvaco France, and certain of its board members. On August 23, 2022, Aldini AG filed a Second Amended Complaint against Silvaco, Inc., Silvaco France, and certain of its board members that included claims of trade secret theft, conspiracy, and intentional interference with a prospective economic advantage in relation to Silvaco’s acquisition of certain assets of Dolphin Design SAS, or Dolphin. Aldini AG seeks $703 million and punitive damages. Silvaco, Inc. filed a motion to dismiss the suit and intends to contest the matter vigorously.</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 Any significant changes to the tax system in the United States or in other jurisdictions could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could adversely affect our business, financial position and results of operations.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losses to offset future taxable income may be subject to certain limitations.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experience ownership changes in the future, including in connection with this offering or as a result of subsequent changes in our stock ownership, some of which are outside our control. Accordingly, we may not be able to utilize a material portion of our NOLs, even if we achieve profitability. In addition, future changes in U.S. federal or state tax laws could impact our ability to utilize our NOLs and may result in greater tax liabilities than we would otherwise incur and adversely affect our business, financial position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could be volatile and you may not be able to resell your shares at or above our initial public offering price.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Declines in the price of our common stock could subject us to litigation.</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stock price may be volatile and may decline, resulting in a loss of some or all of your investment. The trading price and volume of our common stock could fluctuate significantly in response to numerous factors, many of which are beyond our control, including:</w:t>
      </w:r>
    </w:p>
    <w:p>
      <w:pPr>
        <w:spacing w:after="0" w:line="118" w:lineRule="exact"/>
        <w:rPr>
          <w:sz w:val="20"/>
          <w:szCs w:val="20"/>
          <w:color w:val="auto"/>
        </w:rPr>
      </w:pPr>
    </w:p>
    <w:p>
      <w:pPr>
        <w:ind w:left="660" w:right="20" w:hanging="328"/>
        <w:spacing w:after="0" w:line="262"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variations in our operating results and other financial and operational metrics, including the key financial and operating metrics disclosed in this prospectus, as well as how those results and metrics compare to analyst and investor expectations;</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speculation in the market about our operating results;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financial guidance we may provide to the public, any changes in guidance or our failure to meet guidance;</w:t>
      </w:r>
    </w:p>
    <w:p>
      <w:pPr>
        <w:spacing w:after="0" w:line="7" w:lineRule="exact"/>
        <w:rPr>
          <w:rFonts w:ascii="Arial" w:cs="Arial" w:eastAsia="Arial" w:hAnsi="Arial"/>
          <w:sz w:val="17"/>
          <w:szCs w:val="17"/>
          <w:color w:val="auto"/>
        </w:rPr>
      </w:pPr>
    </w:p>
    <w:p>
      <w:pPr>
        <w:ind w:left="660" w:hanging="328"/>
        <w:spacing w:after="0" w:line="24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results of operations that otherwise fail to meet the expectations of securities analysts and investors;</w:t>
      </w:r>
    </w:p>
    <w:p>
      <w:pPr>
        <w:spacing w:after="0" w:line="13" w:lineRule="exact"/>
        <w:rPr>
          <w:rFonts w:ascii="Arial" w:cs="Arial" w:eastAsia="Arial" w:hAnsi="Arial"/>
          <w:sz w:val="17"/>
          <w:szCs w:val="17"/>
          <w:color w:val="auto"/>
        </w:rPr>
      </w:pPr>
    </w:p>
    <w:p>
      <w:pPr>
        <w:ind w:left="660" w:hanging="328"/>
        <w:spacing w:after="0" w:line="253" w:lineRule="auto"/>
        <w:tabs>
          <w:tab w:leader="none" w:pos="682"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 or other changes in investor perceptions of the investment opportunity associated with our common stock relative to other investment alternatives;</w:t>
      </w:r>
    </w:p>
    <w:p>
      <w:pPr>
        <w:ind w:left="660" w:right="20" w:hanging="328"/>
        <w:spacing w:after="0" w:line="248" w:lineRule="auto"/>
        <w:tabs>
          <w:tab w:leader="none" w:pos="6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events or factors resulting from global health crises such as the COVID-19 pandemic, war, incidents of terrorism or responses to these events;</w:t>
      </w:r>
    </w:p>
    <w:p>
      <w:pPr>
        <w:spacing w:after="0" w:line="1" w:lineRule="exact"/>
        <w:rPr>
          <w:rFonts w:ascii="Arial" w:cs="Arial" w:eastAsia="Arial" w:hAnsi="Arial"/>
          <w:sz w:val="17"/>
          <w:szCs w:val="17"/>
          <w:color w:val="auto"/>
        </w:rPr>
      </w:pPr>
    </w:p>
    <w:p>
      <w:pPr>
        <w:ind w:left="660" w:right="20" w:hanging="328"/>
        <w:spacing w:after="0" w:line="256" w:lineRule="auto"/>
        <w:tabs>
          <w:tab w:leader="none" w:pos="6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software solutions or enhancements, strategic alliances or significant agreements or other developments by us or our competitors;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by us or our competitors of mergers or acquisitions or rumors of such transactions involving us or our competitors;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management, other key personnel or our board of directors;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in our operations due to security breaches or other issues;</w:t>
      </w:r>
    </w:p>
    <w:p>
      <w:pPr>
        <w:spacing w:after="0" w:line="7" w:lineRule="exact"/>
        <w:rPr>
          <w:rFonts w:ascii="Arial" w:cs="Arial" w:eastAsia="Arial" w:hAnsi="Arial"/>
          <w:sz w:val="17"/>
          <w:szCs w:val="17"/>
          <w:color w:val="auto"/>
        </w:rPr>
      </w:pPr>
    </w:p>
    <w:p>
      <w:pPr>
        <w:ind w:left="660" w:right="20" w:hanging="328"/>
        <w:spacing w:after="0" w:line="252"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strength of the global economy or the economy in the jurisdictions in which we operate, and market conditions in our industry and those affecting our customers;</w:t>
      </w:r>
    </w:p>
    <w:p>
      <w:pPr>
        <w:ind w:left="660" w:right="20" w:hanging="328"/>
        <w:spacing w:after="0" w:line="253" w:lineRule="auto"/>
        <w:tabs>
          <w:tab w:leader="none" w:pos="6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trading activity by our controlling stockholders, Ms. Ngai-Pesic and the SMIK Trust, including upon the expiration of contractual lock-up agreements, and other market participants, in whom ownership of our common stock may be concentrated following this offering;</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effects arising if U.S. or global inflationary and/or currency devaluation trends appear or increase;</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market conditions in the semiconductor and photonics industries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performance of the equity markets in general and in our industry;</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operating performance of other similar companies;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or our competitors’ businesses or the competitive landscape generally;</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7" w:lineRule="exact"/>
        <w:rPr>
          <w:rFonts w:ascii="Arial" w:cs="Arial" w:eastAsia="Arial" w:hAnsi="Arial"/>
          <w:sz w:val="17"/>
          <w:szCs w:val="17"/>
          <w:color w:val="auto"/>
        </w:rPr>
      </w:pPr>
    </w:p>
    <w:p>
      <w:pPr>
        <w:ind w:left="660" w:right="20" w:hanging="328"/>
        <w:spacing w:after="0" w:line="264"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regulations, including import, export and economic sanctions, laws and regulations, that may expose us to liability and increase our costs;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litigation or other claims against us;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shares of our common stock that are available for public trading; and</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other factors discussed in this prospectus.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fluctuations may be even more pronounced in the trading market for our common stock shortly following the closing of this offering.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have not operated as a public company, which will require us to incur substantial costs and will require substantial management attention, and we may not be able to manage our transition to a public company effectively or efficiently.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never operated as a public company and will incur significant legal, accounting and other expenses that we did not incur as a private company. We also expect to incur stock-based compensation expenses, which we have not incurred in any material amount as a private company. Our management team and other personnel will need to devote a substantial amount of time to, and we may not effectively or efficiently manage, our transition to a public company. For example, we will be subject to the reporting requirements of the Exchange Act, the applicable requirements of the Sarbanes-Oxley Act and the Dodd-Frank Wall Street Reform and Consumer Protection Act and the rules and regulations of the SEC. The rules and regulations of Nasdaq will also apply to us following this offering. To comply with the various requirements applicable to public companies, we will need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intend to invest resources to comply with evolving laws, regulations and standards, and this investment may result in increased general and administrative expenses and a diversion of management’s time and attention from revenue-generating activities.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expect that our management and other personnel will need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late filings or the identification of additional material weaknesses in our internal controls. Any consequences resulting from inaccuracies or delays in our public reporting could cause our stock price to decline, result in litigation and could harm our business, financial condition and results of operations.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We are, and following the completion of this offering will be,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Following the completion of this offering, we will be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stock will be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There has been no prior public market for our common stock, and an active trading market for our common stock may not develop or be sustained and you may not be able to sell your shares at or above the initial public offering price, or at all.</w:t>
      </w:r>
    </w:p>
    <w:p>
      <w:pPr>
        <w:spacing w:after="0" w:line="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our common stock in this offering, you may not be able to resell those shares at or above the initial public offering price, or at all.</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 active market in our common stock may not develop upon completion of this offering or, if it does develop, it may not be sustainable or liquid enough for you to sell your shares, especially given the concentration of outstanding shares. If an active market for our common stock does not develop, it may be difficult for you to sell shares you purchase in this offering at the price you paid.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although we intend to apply to have our common stock listed on Nasdaq, even if listed,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initial public offering price of our common stock will be substantially higher than the pro forma net tangible book value per share of our common</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stock immediately after this offering. If you purchase shares of our common stock in this offering, you will suffer immediate dilution of $ per share, or $ per share if the underwriters exercise their over-allotment option in full, representing the difference between our pro forma as adjusted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tangible book value per share after giving effect to the sale of common stock in this offering and the assumed public offering price of $ per share, the midpoint of the price range set forth on the cover page of this prospectus. You will experience additional dilution upon the vesting of RSUs issued under our equity incentive plans, if we issue restricted stock to our employees under our equity incentive plans or if we otherwise issue additional shares of our common stock. See “Dilution.”</w:t>
      </w:r>
    </w:p>
    <w:p>
      <w:pPr>
        <w:spacing w:after="0" w:line="139"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Future issuances of our common stock or sales of a substantial number of shares of our common stock in the public market following this offering, or the perception that such sales could occur, could cause the price of our common stock to decline.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following the completion of this offering.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Upon the closing of this offering, we will have approximately shares of common stock outstanding, assuming no exercise of the underwriters’ option to purchase additional shares. All of the shares of common stock sold in this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offering will be freely transferable without restriction or additional registration under the Securities Act of 1933, as amended, or the Securities Act.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Substantially all of the remaining shares of our common stock, including all shares held by our executive officers, directors and the holders of substantially all of our equity securities, will be subject to the lock-up agreements with the underwriters of this offering described in “Underwriting.” We also intend to register all shares of common stock that we may issue under equity compensation plans. Once we register these shares, they can be freely sold in the public market upon issuance, subject to volume limitations applicable to affiliates and the lock-up agreements described in the “Underwriting” section of this prospectus. As these restrictions on resale end, the market price of our common stock could drop significantly if the holders of those shares sell them or are perceived by the market as intending to sell them. These declines in our stock price could occur even if our business is otherwise doing well and, as a result, you may lose all or a part of your investment.</w:t>
      </w:r>
    </w:p>
    <w:p>
      <w:pPr>
        <w:spacing w:after="0" w:line="12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no or few securities or industry analysts commence coverage of us, the trading price for our common stock will be negatively impacted. In the event we do obtain industry or equity research analyst coverage, we will not have any control over the analysts’ content and opinions included in their reports. If one or more analysts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142"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i w:val="1"/>
          <w:iCs w:val="1"/>
          <w:color w:val="auto"/>
        </w:rPr>
        <w:t>We will have broad discretion in the use of the net proceeds to us from this offering and may not apply the proceeds in ways that increase our market value or improve our operating results.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management will have considerable discretion in the application of the net proceeds to us of this offering, and you will not have the opportunity, as part of your investment decision, to assess whether the proceeds are being used appropriately. The net proceeds to us may be used for corporate purposes that do not increase the value of our business, which could cause our stock price to decline. The failure by our management to apply the net proceeds from this offering effectively could impair our growth prospects and result in financial losses that could harm our business and cause the price of our common stock to decline. We intend use a portion of the proceeds of this offering to repay the March 2022 Loan and the 2022 Credit Line, from which we have drawn $2.0 million as of September 30, 2022, each payable to Ms. Ngai-Pesic. Until the net proceeds we receive are used, they may be placed in investments that do not produce income or that lose value.</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We do not intend to pay dividends on our common stock, so any returns on your investment will be limited to changes in the value of our common stock.</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Our amended and restated charter and bylaws that will be in effect upon the closing of this offering will designate the Court of Chancery of the State of Delaware as the sole and exclusive forum for certain types of actions and proceedings that may be initiated by our stockholders, and provides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charter and bylaws that will be in effect upon the closing of this offering provide that, unless we consent in writing to the selection of an alternative forum, to the fullest extent permitted by law, the Court of Chancery of the State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that will be in effect upon the closing of this offering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will not apply to suits brought to enforce any liability or duty created by the Exchange Act or any other claim for which the federal courts have exclusive jurisdiction.</w:t>
      </w: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this offering.</w:t>
      </w:r>
    </w:p>
    <w:p>
      <w:pPr>
        <w:spacing w:after="0" w:line="3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 and Risks Related to Being a Public Company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which may adversely affect investor confidence in us and our reported financial information and, as a result, impact the value of our common stock.</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been a private company and, as such, we have not been subject to the internal control and financial reporting requirements applicable to a publicly traded company. As a public company, we will be subject to Section 404 of the Sarbanes-Oxley Act, or Section 404, which requires that we maintain effective internal control over financial reporting and disclosure controls and procedures. Section 404(a) of the Sarbanes-Oxley Act requires that we include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management report on our internal controls, including an assessment of the effectiveness of our internal controls and financial reporting procedures, beginning with annual report for our fiscal year ending December 31, 2023.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or if we or our accounting firm identify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 the past and continue to identify material weaknesses in our internal control over financial reporting. The material weakness as of December 31, 2021, identified in connection with the preparation of our financial statements, related to an insufficient complement of personnel possessing the technical accounting and financial reporting knowledge and experience to support a timely and accurate close and financial statement reporting process.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failure to maintain internal control over financial reporting or to identify any additional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adversely affect our future access to the capital markets.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begun to take certain actions intended to address the material weakness in our financial reporting, including hiring additional qualified accounting and financial reporting personnel, and developing and implementing processes and controls, and we may take additional actions, including hiring additional personnel, implementing system upgrades or other organizational changes.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enhancing our audit committee oversight.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 or prevent future material weaknesses. We may discover additional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will remain an emerging growth company until the earlier of (ii) the last day of the fiscal year (a) in which the fifth anniversary of the completion of this offering occurs,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also a “smaller reporting company.”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Any statements contained in this prospectus that are not statements of historical facts may be deemed to be forward-looking statements. Statements regarding our future results of operations and financial position, business strategy and plans and objectives of management for future operations, including, among others, statements regarding the offering, liquidity, growth and profitability strategies and factors and trends affecting our business are forward-looking statements The forward-looking statements are contained principally in the sections titled “Prospectus Summary,” “Risk Factors,” “Management’s Discussion and Analysis of Financial Condition and Results of Operations,” and “Business,” but are also contained elsewhere in this prospectus. In some cases, you can identify forward-looking statements by the words “may,” “might,” “will,” “can,” “could,” “would,” “should,” “expect,” “intend,” “plan,” “objective,” “target,”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Forward-looking statements in this prospectus include, but are not limited to, statements about:</w:t>
      </w:r>
    </w:p>
    <w:p>
      <w:pPr>
        <w:spacing w:after="0" w:line="34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market conditions;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anticipated trends, challenges and growth in our business and the markets in which we operate;</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appropriately respond to changing technologies on a timely and cost-effective basis;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expectations regarding our revenue, gross margin and capacity to increase bookings;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software solutions, and our ability to serve those markets;</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expectations regarding competition in our existing and new markets;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level of demand in our customers’ end markets;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trade policies, including the imposition of tariffs;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proposed new software solutions, services or developments;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attract and retain key management personnel;</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customer relationships and our ability to retain and expand our customer relationships;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diversify our customer base and develop relationships in new markets;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strategies, prospects, plans, expectations, and objectives of management for future operations;</w:t>
      </w:r>
    </w:p>
    <w:p>
      <w:pPr>
        <w:spacing w:after="0" w:line="7" w:lineRule="exact"/>
        <w:rPr>
          <w:rFonts w:ascii="Arial" w:cs="Arial" w:eastAsia="Arial" w:hAnsi="Arial"/>
          <w:sz w:val="17"/>
          <w:szCs w:val="17"/>
          <w:color w:val="auto"/>
        </w:rPr>
      </w:pPr>
    </w:p>
    <w:p>
      <w:pPr>
        <w:ind w:left="660" w:right="20" w:hanging="328"/>
        <w:spacing w:after="0" w:line="252" w:lineRule="auto"/>
        <w:tabs>
          <w:tab w:leader="none" w:pos="6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public health crises, pandemics, and epidemics, such as the COVID-19 pandemic, and their effects on our business and our customers’ businesses;</w:t>
      </w:r>
    </w:p>
    <w:p>
      <w:pPr>
        <w:jc w:val="both"/>
        <w:ind w:left="660" w:hanging="328"/>
        <w:spacing w:after="0" w:line="250"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the current conflict between Ukraine and Russia and the ongoing trade disputes among the United States and China on our business, financial condition or prospects, including extreme volatility in the global capital markets making debt or equity financing more difficult to obtain, more costly or more dilutive, delays and disruptions of the global supply chains and the business activities of our suppliers, distributors, customers and other business partners;</w:t>
      </w:r>
    </w:p>
    <w:p>
      <w:pPr>
        <w:spacing w:after="0" w:line="2" w:lineRule="exact"/>
        <w:rPr>
          <w:rFonts w:ascii="Arial" w:cs="Arial" w:eastAsia="Arial" w:hAnsi="Arial"/>
          <w:sz w:val="17"/>
          <w:szCs w:val="17"/>
          <w:color w:val="auto"/>
        </w:rPr>
      </w:pPr>
    </w:p>
    <w:p>
      <w:pPr>
        <w:ind w:left="660" w:hanging="328"/>
        <w:spacing w:after="0" w:line="256" w:lineRule="auto"/>
        <w:tabs>
          <w:tab w:leader="none" w:pos="682"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general economic or business conditions or economic or demographic trends in the United States and foreign countries including changes in interest rates and inflation;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raise additional capital;</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accurately forecast demand for our software solutions;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expectations regarding the outcome of any ongoing litigation;</w:t>
      </w:r>
    </w:p>
    <w:p>
      <w:pPr>
        <w:spacing w:after="0" w:line="7" w:lineRule="exact"/>
        <w:rPr>
          <w:rFonts w:ascii="Arial" w:cs="Arial" w:eastAsia="Arial" w:hAnsi="Arial"/>
          <w:sz w:val="17"/>
          <w:szCs w:val="17"/>
          <w:color w:val="auto"/>
        </w:rPr>
      </w:pPr>
    </w:p>
    <w:p>
      <w:pPr>
        <w:ind w:left="660" w:hanging="328"/>
        <w:spacing w:after="0" w:line="252" w:lineRule="auto"/>
        <w:tabs>
          <w:tab w:leader="none" w:pos="66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JOBS Act and as a smaller reporting company under the Exchange Act;</w:t>
      </w: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technology;</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status as a controlled company; and</w:t>
      </w:r>
    </w:p>
    <w:p>
      <w:pPr>
        <w:spacing w:after="0" w:line="31"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use of the net proceeds from this offering.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forward-looking statements reflect our management’s beliefs and views with respect to future events and are based on estimates and assumptions as of the date of this prospectus and are subject to risks and uncertainties. You should refer to the “Risk Factors” section of this prospectus for a discussion of crucial factors that may cause our actual results to differ materially from those expressed or implied by our forward-looking statements. As a result of these factors, we cannot assure you that the forward-looking statements in this prospectus will prove to be accurate.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Furthermore, if our forward-looking statements prove to be inaccurate, the inaccuracy may be material. Considering the significant uncertainties in these forward-looking statements, you should not regard these statements as a representation or warranty by us or any other person that we will achieve our objectives and plans in any specified timeframe, or at all. Moreover, we operate in a competitive and rapidly changing environment. New risks emerge from time to time. It is not possible for our management to predict all risks, nor can we assess the impact of all factors 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them.</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Such forward-looking statements relate only to events as of the date of this prospectus. We undertake no obligation to update publicly any forward-looking statements for any reason after the date of this prospectus to conform these statements to actual results or to changes in our expectations, except as required by law.</w:t>
      </w:r>
    </w:p>
    <w:p>
      <w:pPr>
        <w:spacing w:after="0" w:line="138"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prospectus includes statistical and other industry and market data that we obtained from industry publications and research, surveys, studies and other similar third-party sources, as well as our estimates based on such data. The market data and estimates used in this prospectus involve a number of assumptions and limitations, and you are cautioned not to give undue weight to such data and estimates. We believe that the information from these third-party sources is reliable; however, we have not independently verified them, and our business and the industry in which we operate is subject to a high degree of risk and uncertainty. See “Risk Factors” for additional information regarding risks that could cause results to differ materially from those expressed in the estimates made by the third-party sources and by us.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“Special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The content of, or accessibility through, the sources and websites identified herein, except to the extent specifically set forth in this prospectus, does not constitute a part of this prospectus and are not incorporated herein and any websites are an inactive textual reference only.</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Certain information in this prospectus is based on independent or third-party sources, including:</w:t>
      </w:r>
    </w:p>
    <w:p>
      <w:pPr>
        <w:spacing w:after="0" w:line="169" w:lineRule="exact"/>
        <w:rPr>
          <w:sz w:val="20"/>
          <w:szCs w:val="20"/>
          <w:color w:val="auto"/>
        </w:rPr>
      </w:pPr>
    </w:p>
    <w:p>
      <w:pPr>
        <w:jc w:val="both"/>
        <w:ind w:left="660" w:hanging="328"/>
        <w:spacing w:after="0" w:line="257" w:lineRule="auto"/>
        <w:tabs>
          <w:tab w:leader="none" w:pos="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Allied Market Research, Automotive Semiconductor Market by Component (Processor, Analog IC, Discrete Power, Sensor, Memory and Others), Vehicle Type (Passenger Car, Light Commercial Vehicle and Heavy Commercial Vehicle), Propulsion Type (Internal Combustion Engine and Electric) and Application (Powertrain, Safety, Body Electronics, Chassis, Telematics &amp; Infotainment): Global Opportunity Analysis and Industry Forecast, 2021-2030, November 2021.</w:t>
      </w:r>
    </w:p>
    <w:p>
      <w:pPr>
        <w:spacing w:after="0" w:line="2" w:lineRule="exact"/>
        <w:rPr>
          <w:rFonts w:ascii="Arial" w:cs="Arial" w:eastAsia="Arial" w:hAnsi="Arial"/>
          <w:sz w:val="17"/>
          <w:szCs w:val="17"/>
          <w:color w:val="auto"/>
        </w:rPr>
      </w:pPr>
    </w:p>
    <w:p>
      <w:pPr>
        <w:jc w:val="both"/>
        <w:ind w:left="660" w:hanging="328"/>
        <w:spacing w:after="0" w:line="254" w:lineRule="auto"/>
        <w:tabs>
          <w:tab w:leader="none" w:pos="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Allied Market Research, IoT Market by Component (Processor, Connectivity IC, Sensors, Others), by Connectivity Technology (WiFi, Bluetooth, Zigbee, Cellular, NFC, RFID, Others), by End-Use (Consumer Electronics, Retail, Logistics, Automotive, Healthcare, Manufacturing, Others): Global Opportunity Analysis and Industry Forecast, 2021-2031, August 2022.</w:t>
      </w: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Allied Market Research, Display Market, Global Opportunity Analysis and Industry Forecast, 2022-2031, September 2022.</w:t>
      </w:r>
    </w:p>
    <w:p>
      <w:pPr>
        <w:spacing w:after="0" w:line="7" w:lineRule="exact"/>
        <w:rPr>
          <w:rFonts w:ascii="Arial" w:cs="Arial" w:eastAsia="Arial" w:hAnsi="Arial"/>
          <w:sz w:val="17"/>
          <w:szCs w:val="17"/>
          <w:color w:val="auto"/>
        </w:rPr>
      </w:pPr>
    </w:p>
    <w:p>
      <w:pPr>
        <w:ind w:left="660" w:right="20" w:hanging="328"/>
        <w:spacing w:after="0" w:line="248" w:lineRule="auto"/>
        <w:tabs>
          <w:tab w:leader="none" w:pos="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Allied Market Research, High Performance Computing (HPC) Chipset Market by Chip Type (CPU, GPU, FPGA, and ASIC): Global Opportunity Analysis and Industry Forecast, 2020-2027, January 2021.</w:t>
      </w:r>
    </w:p>
    <w:p>
      <w:pPr>
        <w:spacing w:after="0" w:line="1" w:lineRule="exact"/>
        <w:rPr>
          <w:rFonts w:ascii="Arial" w:cs="Arial" w:eastAsia="Arial" w:hAnsi="Arial"/>
          <w:sz w:val="17"/>
          <w:szCs w:val="17"/>
          <w:color w:val="auto"/>
        </w:rPr>
      </w:pPr>
    </w:p>
    <w:p>
      <w:pPr>
        <w:jc w:val="both"/>
        <w:ind w:left="660" w:hanging="328"/>
        <w:spacing w:after="0" w:line="252" w:lineRule="auto"/>
        <w:tabs>
          <w:tab w:leader="none" w:pos="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Allied Market Research, Power Electronics Market by Device Type (Power Discrete, Power Module, Power IC), by Material (Silicon Carbide, Gallium Nitride, Sapphire, Others), by Application (Power Management, UPS, Renewable, Others), by End Use (Telecommunication, Industrial, Automotive, Consumer Electronics, Military and defense, Energy and Power, Others): Global Opportunity Analysis and Industry Forecast, 2021-2031, May 2022.</w:t>
      </w:r>
    </w:p>
    <w:p>
      <w:pPr>
        <w:spacing w:after="0" w:line="2"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Electronic Design Market Data Q4 2021 Report, Electronic System Design Alliance, July 2021.</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Global FAB Equipment Spending Expected to Reach Record $109 Billion in 2022, SEMI Reports, SEMI, June 2022.</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Grand View Research, Electronic Design Automation Software Market Size, Share &amp; Trends Analysis Report By End-use (Microprocessors</w:t>
      </w:r>
    </w:p>
    <w:p>
      <w:pPr>
        <w:spacing w:after="0" w:line="13" w:lineRule="exact"/>
        <w:rPr>
          <w:rFonts w:ascii="Arial" w:cs="Arial" w:eastAsia="Arial" w:hAnsi="Arial"/>
          <w:sz w:val="17"/>
          <w:szCs w:val="17"/>
          <w:color w:val="auto"/>
        </w:rPr>
      </w:pPr>
    </w:p>
    <w:p>
      <w:pPr>
        <w:ind w:left="820" w:hanging="164"/>
        <w:spacing w:after="0"/>
        <w:tabs>
          <w:tab w:leader="none" w:pos="8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Controllers, Memory Management Units), By Region And Segment Forecasts, 2022-2030.</w:t>
      </w:r>
    </w:p>
    <w:p>
      <w:pPr>
        <w:spacing w:after="0" w:line="14" w:lineRule="exact"/>
        <w:rPr>
          <w:rFonts w:ascii="Arial" w:cs="Arial" w:eastAsia="Arial" w:hAnsi="Arial"/>
          <w:sz w:val="17"/>
          <w:szCs w:val="17"/>
          <w:color w:val="auto"/>
        </w:rPr>
      </w:pPr>
    </w:p>
    <w:p>
      <w:pPr>
        <w:ind w:left="660" w:hanging="328"/>
        <w:spacing w:after="0" w:line="263" w:lineRule="auto"/>
        <w:tabs>
          <w:tab w:leader="none" w:pos="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Grand View Research, Semiconductor Memory Market Size, Share &amp; Trends Analysis Report By Type (SRAM, MRAM, DRAM, Flash ROM), By Application (Consumer Electronics, Automotive), By Region, And Segment Forecasts, 2020-2027.</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Handel Jones, Chief Executive Officer of IBS, as cited in “The cost of a 3nm chip is nearly $600 million. Where is it?”, iMedia.</w:t>
      </w:r>
    </w:p>
    <w:p>
      <w:pPr>
        <w:spacing w:after="0" w:line="47"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IDC, Worldwide Mobile Phone Semiconductor Forecast, May 2022, </w:t>
      </w:r>
      <w:r>
        <w:rPr>
          <w:rFonts w:ascii="Arial" w:cs="Arial" w:eastAsia="Arial" w:hAnsi="Arial"/>
          <w:sz w:val="17"/>
          <w:szCs w:val="17"/>
          <w:color w:val="01010F"/>
        </w:rPr>
        <w:t>#US47829222.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estimate that we will receive net proceeds of approximately $ million (or approximately $ million if the underwriters exercise their option to purchase additional shares of our common stock in full) from the sale of the shares of our common stock offered by us in this offering,</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based on an assumed initial public offering price of $ per share (the midpoint of the price range set forth on the cover page of this prospectus), and after deducting estimated underwriting discounts and commissions and estimated offering expenses payable by us.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Each $1.00 increase (decrease) in the assumed initial public offering price of $ per share would increase (decrease) the net proceeds to us from this offering by approximately $ million, assuming that the number of shares offered by us, as set forth on the cover page of this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prospectus, remains the same and after deducting the estimated underwriting discounts and commissions and estimated offering expenses payable by us.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Similarly, each 1.0 million share increase (decrease) in the number of shares offered, as set forth on the cover page of this prospectus, would</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increase (decrease) the net proceeds that we receive from this offering by approximately $ million, assuming no change in the assumed initial public offering price per share, and after deducting the estimated underwriting discounts and commissions and estimated offering expenses payable by us.</w:t>
      </w:r>
    </w:p>
    <w:p>
      <w:pPr>
        <w:spacing w:after="0" w:line="3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establish a public market for our common stock, facilitate future access to the public equity markets by us, our employees and our stockholders, obtain additional capital to support our operations and increase our visibility in the marketplace.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intend to use the net proceeds from this offering for general corporate purposes, including working capital, selling and marketing activities, product development, general and administrative matters, the repayment of outstanding debt and capital expenditures. We also may use a portion of the net proceeds to acquire complementary businesses, products, services or technologies. However, we do not have agreements or commitments for any specific acquisitions at this time.</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intend to use a portion of the offering proceeds to repay the March 2022 Loan. The March 2022 Loan bears an interest rate of 3.25% per annum and is due in full on March 30, 2023. We also intend to use a portion of the offering proceeds to repay the outstanding balance of the 2022 Credit Line, from which we have drawn $2.0 million as of September 30, 2022. The 2022 Credit Line bears an interest rate equal to the prime rate plus 1% per annum and is due in full upon the earlier of (i) June 13, 2023 and (ii) 10 days following the date that we secure financing in an amount equal to or greater than the such line of credit. See “Certain Relationships and Related Party Transactions—Related Party Loans” for more information regarding the March 2022 Loan and the 2022 Credit Line.</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Pending the uses described above, we intend to invest the net proceeds from this offering in short term, interest-bearing securities such as money market accounts, certificates of deposit, commercial paper and guaranteed obligations of the U.S. government.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amounts and timing of our actual use of the net proceeds will vary depending on numerous factors, including our ability to gain access to additional financing, the pace of our operational expansion relative to revenue growth, and the relative success and cost of our research and development programs. As a result, our management will have broad discretion in the application of the net proceeds, and investors will be relying on our judgment regarding the application of the net proceeds of this offering.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never declared or paid cash dividends on our common stock, and we currently intend to retain all available funds and any future earnings to support our operations and finance the growth and development of our business and we do not anticipate declaring or paying, in the foreseeable future, any cash dividends on our common stock.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September 30, 2022:</w:t>
      </w:r>
    </w:p>
    <w:p>
      <w:pPr>
        <w:spacing w:after="0" w:line="18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
          <w:szCs w:val="1"/>
          <w:color w:val="auto"/>
        </w:rPr>
      </w:pPr>
      <w:r>
        <w:rPr>
          <w:rFonts w:ascii="Arial" w:cs="Arial" w:eastAsia="Arial" w:hAnsi="Arial"/>
          <w:sz w:val="1"/>
          <w:szCs w:val="1"/>
          <w:color w:val="auto"/>
        </w:rPr>
        <w:t>on a pro forma basis, giving effect to (i) the filing and effectiveness of our amended and restated certificate of incorporation immediately</w:t>
      </w:r>
    </w:p>
    <w:p>
      <w:pPr>
        <w:spacing w:after="0" w:line="173" w:lineRule="exact"/>
        <w:rPr>
          <w:sz w:val="20"/>
          <w:szCs w:val="20"/>
          <w:color w:val="auto"/>
        </w:rPr>
      </w:pPr>
    </w:p>
    <w:p>
      <w:pPr>
        <w:ind w:left="660" w:right="20"/>
        <w:spacing w:after="0" w:line="241" w:lineRule="auto"/>
        <w:rPr>
          <w:sz w:val="20"/>
          <w:szCs w:val="20"/>
          <w:color w:val="auto"/>
        </w:rPr>
      </w:pPr>
      <w:r>
        <w:rPr>
          <w:rFonts w:ascii="Arial" w:cs="Arial" w:eastAsia="Arial" w:hAnsi="Arial"/>
          <w:sz w:val="17"/>
          <w:szCs w:val="17"/>
          <w:color w:val="auto"/>
        </w:rPr>
        <w:t>prior to the completion of this offering, (ii) the RSU Settlement Issuance, and (iii) a - for - split of our common stock expected to be completed prior to the completion of this offering; and</w:t>
      </w:r>
    </w:p>
    <w:p>
      <w:pPr>
        <w:spacing w:after="0" w:line="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(i) the pro forma adjustment discussed above, (ii) giving further effect to the sale of</w:t>
      </w:r>
    </w:p>
    <w:p>
      <w:pPr>
        <w:spacing w:after="0" w:line="7" w:lineRule="exact"/>
        <w:rPr>
          <w:sz w:val="20"/>
          <w:szCs w:val="20"/>
          <w:color w:val="auto"/>
        </w:rPr>
      </w:pPr>
    </w:p>
    <w:p>
      <w:pPr>
        <w:jc w:val="both"/>
        <w:ind w:left="660"/>
        <w:spacing w:after="0" w:line="265" w:lineRule="auto"/>
        <w:rPr>
          <w:sz w:val="20"/>
          <w:szCs w:val="20"/>
          <w:color w:val="auto"/>
        </w:rPr>
      </w:pPr>
      <w:r>
        <w:rPr>
          <w:rFonts w:ascii="Arial" w:cs="Arial" w:eastAsia="Arial" w:hAnsi="Arial"/>
          <w:sz w:val="17"/>
          <w:szCs w:val="17"/>
          <w:color w:val="auto"/>
        </w:rPr>
        <w:t>shares of our common stock by us in this offering at an assumed initial public offering price of $ per share (the midpoint of the range set forth on the cover page of this prospectus), after deducting estimated underwriting discounts and commissions and estimated offering expenses payable by us, and (iii) the repayment of the March 2022 Loan and the 2022 Credit Line following the completion of this offering.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“Prospectus Summary—Summary Consolidated Financial Data” and “Management’s Discussion and Analysis of Financial Condition and Results of Operations” and our consolidated financial statements and the related notes appearing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6"/>
          </w:tcPr>
          <w:p>
            <w:pPr>
              <w:jc w:val="center"/>
              <w:ind w:right="681"/>
              <w:spacing w:after="0"/>
              <w:rPr>
                <w:sz w:val="20"/>
                <w:szCs w:val="20"/>
                <w:color w:val="auto"/>
              </w:rPr>
            </w:pPr>
            <w:r>
              <w:rPr>
                <w:rFonts w:ascii="Arial" w:cs="Arial" w:eastAsia="Arial" w:hAnsi="Arial"/>
                <w:sz w:val="14"/>
                <w:szCs w:val="14"/>
                <w:b w:val="1"/>
                <w:bCs w:val="1"/>
                <w:color w:val="auto"/>
              </w:rPr>
              <w:t>As of September 30, 2022</w:t>
            </w:r>
          </w:p>
        </w:tc>
        <w:tc>
          <w:tcPr>
            <w:tcW w:w="6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 Forma</w:t>
            </w:r>
          </w:p>
        </w:tc>
        <w:tc>
          <w:tcPr>
            <w:tcW w:w="1480" w:type="dxa"/>
            <w:vAlign w:val="bottom"/>
            <w:gridSpan w:val="2"/>
          </w:tcPr>
          <w:p>
            <w:pPr>
              <w:jc w:val="right"/>
              <w:ind w:right="208"/>
              <w:spacing w:after="0" w:line="145"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01"/>
        </w:trPr>
        <w:tc>
          <w:tcPr>
            <w:tcW w:w="6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1480" w:type="dxa"/>
            <w:vAlign w:val="bottom"/>
            <w:tcBorders>
              <w:bottom w:val="single" w:sz="8" w:color="auto"/>
            </w:tcBorders>
            <w:gridSpan w:val="2"/>
          </w:tcPr>
          <w:p>
            <w:pPr>
              <w:jc w:val="right"/>
              <w:ind w:right="288"/>
              <w:spacing w:after="0" w:line="201"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gridSpan w:val="7"/>
          </w:tcPr>
          <w:p>
            <w:pPr>
              <w:jc w:val="center"/>
              <w:ind w:left="277"/>
              <w:spacing w:after="0"/>
              <w:rPr>
                <w:sz w:val="20"/>
                <w:szCs w:val="20"/>
                <w:color w:val="auto"/>
              </w:rPr>
            </w:pPr>
            <w:r>
              <w:rPr>
                <w:rFonts w:ascii="Arial" w:cs="Arial" w:eastAsia="Arial" w:hAnsi="Arial"/>
                <w:sz w:val="14"/>
                <w:szCs w:val="14"/>
                <w:b w:val="1"/>
                <w:bCs w:val="1"/>
                <w:color w:val="auto"/>
              </w:rPr>
              <w:t>(in thousands, except for per share data)</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3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Debt:</w:t>
            </w: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10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March 2022 Loan </w:t>
            </w:r>
            <w:r>
              <w:rPr>
                <w:rFonts w:ascii="Arial" w:cs="Arial" w:eastAsia="Arial" w:hAnsi="Arial"/>
                <w:sz w:val="22"/>
                <w:szCs w:val="22"/>
                <w:color w:val="auto"/>
                <w:vertAlign w:val="superscript"/>
              </w:rPr>
              <w:t>(2)</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3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2022 Credit Line </w:t>
            </w:r>
            <w:r>
              <w:rPr>
                <w:rFonts w:ascii="Arial" w:cs="Arial" w:eastAsia="Arial" w:hAnsi="Arial"/>
                <w:sz w:val="22"/>
                <w:szCs w:val="22"/>
                <w:color w:val="auto"/>
                <w:vertAlign w:val="superscript"/>
              </w:rPr>
              <w:t>(3)</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20"/>
              <w:spacing w:after="0" w:line="167" w:lineRule="exact"/>
              <w:rPr>
                <w:sz w:val="20"/>
                <w:szCs w:val="20"/>
                <w:color w:val="auto"/>
              </w:rPr>
            </w:pPr>
            <w:r>
              <w:rPr>
                <w:rFonts w:ascii="Arial" w:cs="Arial" w:eastAsia="Arial" w:hAnsi="Arial"/>
                <w:sz w:val="17"/>
                <w:szCs w:val="17"/>
                <w:color w:val="auto"/>
              </w:rPr>
              <w:t>Preferred stock, $0.0001 par value per share; no shares authorized, issued and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gridSpan w:val="2"/>
          </w:tcPr>
          <w:p>
            <w:pPr>
              <w:ind w:left="180"/>
              <w:spacing w:after="0" w:line="171" w:lineRule="exact"/>
              <w:rPr>
                <w:sz w:val="20"/>
                <w:szCs w:val="20"/>
                <w:color w:val="auto"/>
              </w:rPr>
            </w:pPr>
            <w:r>
              <w:rPr>
                <w:rFonts w:ascii="Arial" w:cs="Arial" w:eastAsia="Arial" w:hAnsi="Arial"/>
                <w:sz w:val="17"/>
                <w:szCs w:val="17"/>
                <w:color w:val="auto"/>
              </w:rPr>
              <w:t>outstanding, actual; shares authorized, no shares issued and outstanding pro forma</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100" w:type="dxa"/>
            <w:vAlign w:val="bottom"/>
          </w:tcPr>
          <w:p>
            <w:pPr>
              <w:ind w:left="180"/>
              <w:spacing w:after="0"/>
              <w:rPr>
                <w:sz w:val="20"/>
                <w:szCs w:val="20"/>
                <w:color w:val="auto"/>
              </w:rPr>
            </w:pPr>
            <w:r>
              <w:rPr>
                <w:rFonts w:ascii="Arial" w:cs="Arial" w:eastAsia="Arial" w:hAnsi="Arial"/>
                <w:sz w:val="17"/>
                <w:szCs w:val="17"/>
                <w:color w:val="auto"/>
              </w:rPr>
              <w:t>and pro forma as adjusted</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5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rPr>
              <w:t>Common stock, $0.0001 par value; 50,000,000 shares authorized; 40,000,000 shares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gridSpan w:val="2"/>
            <w:shd w:val="clear" w:color="auto" w:fill="CCEEFF"/>
          </w:tcPr>
          <w:p>
            <w:pPr>
              <w:ind w:left="180"/>
              <w:spacing w:after="0" w:line="171" w:lineRule="exact"/>
              <w:rPr>
                <w:sz w:val="20"/>
                <w:szCs w:val="20"/>
                <w:color w:val="auto"/>
              </w:rPr>
            </w:pPr>
            <w:r>
              <w:rPr>
                <w:rFonts w:ascii="Arial" w:cs="Arial" w:eastAsia="Arial" w:hAnsi="Arial"/>
                <w:sz w:val="17"/>
                <w:szCs w:val="17"/>
                <w:color w:val="auto"/>
              </w:rPr>
              <w:t>issued and outstanding, actual; shares authorized, shares issued and outstanding</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 forma; shares authorized, shares issued and outstanding pro forma as adjusted</w:t>
            </w:r>
          </w:p>
        </w:tc>
        <w:tc>
          <w:tcPr>
            <w:tcW w:w="3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tcPr>
          <w:p>
            <w:pPr>
              <w:ind w:left="20"/>
              <w:spacing w:after="0"/>
              <w:rPr>
                <w:sz w:val="20"/>
                <w:szCs w:val="20"/>
                <w:color w:val="auto"/>
              </w:rPr>
            </w:pPr>
            <w:r>
              <w:rPr>
                <w:rFonts w:ascii="Arial" w:cs="Arial" w:eastAsia="Arial" w:hAnsi="Arial"/>
                <w:sz w:val="17"/>
                <w:szCs w:val="17"/>
                <w:color w:val="auto"/>
              </w:rPr>
              <w:t>Retained earnings</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stockholders’ equity</w:t>
            </w:r>
          </w:p>
        </w:tc>
        <w:tc>
          <w:tcPr>
            <w:tcW w:w="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capitalization</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14,651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6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100" w:type="dxa"/>
            <w:vAlign w:val="bottom"/>
          </w:tcPr>
          <w:p>
            <w:pPr>
              <w:spacing w:after="0"/>
              <w:rPr>
                <w:sz w:val="20"/>
                <w:szCs w:val="20"/>
                <w:color w:val="auto"/>
              </w:rPr>
            </w:pPr>
            <w:r>
              <w:rPr>
                <w:rFonts w:ascii="Arial" w:cs="Arial" w:eastAsia="Arial" w:hAnsi="Arial"/>
                <w:sz w:val="14"/>
                <w:szCs w:val="14"/>
                <w:color w:val="auto"/>
              </w:rPr>
              <w:t>(1)  Each $1.00 increase (decrease) in the assumed initial public offering price of $</w:t>
            </w:r>
          </w:p>
        </w:tc>
        <w:tc>
          <w:tcPr>
            <w:tcW w:w="5140" w:type="dxa"/>
            <w:vAlign w:val="bottom"/>
            <w:gridSpan w:val="10"/>
          </w:tcPr>
          <w:p>
            <w:pPr>
              <w:jc w:val="right"/>
              <w:spacing w:after="0"/>
              <w:rPr>
                <w:sz w:val="20"/>
                <w:szCs w:val="20"/>
                <w:color w:val="auto"/>
              </w:rPr>
            </w:pPr>
            <w:r>
              <w:rPr>
                <w:rFonts w:ascii="Arial" w:cs="Arial" w:eastAsia="Arial" w:hAnsi="Arial"/>
                <w:sz w:val="14"/>
                <w:szCs w:val="14"/>
                <w:color w:val="auto"/>
              </w:rPr>
              <w:t>per share (the midpoint of the price range set forth on the cover page of this</w:t>
            </w:r>
          </w:p>
        </w:tc>
        <w:tc>
          <w:tcPr>
            <w:tcW w:w="0" w:type="dxa"/>
            <w:vAlign w:val="bottom"/>
          </w:tcPr>
          <w:p>
            <w:pPr>
              <w:spacing w:after="0"/>
              <w:rPr>
                <w:sz w:val="1"/>
                <w:szCs w:val="1"/>
                <w:color w:val="auto"/>
              </w:rPr>
            </w:pPr>
          </w:p>
        </w:tc>
      </w:tr>
      <w:tr>
        <w:trPr>
          <w:trHeight w:val="190"/>
        </w:trPr>
        <w:tc>
          <w:tcPr>
            <w:tcW w:w="10560" w:type="dxa"/>
            <w:vAlign w:val="bottom"/>
            <w:gridSpan w:val="10"/>
          </w:tcPr>
          <w:p>
            <w:pPr>
              <w:ind w:left="340"/>
              <w:spacing w:after="0"/>
              <w:rPr>
                <w:sz w:val="20"/>
                <w:szCs w:val="20"/>
                <w:color w:val="auto"/>
              </w:rPr>
            </w:pPr>
            <w:r>
              <w:rPr>
                <w:rFonts w:ascii="Arial" w:cs="Arial" w:eastAsia="Arial" w:hAnsi="Arial"/>
                <w:sz w:val="14"/>
                <w:szCs w:val="14"/>
                <w:color w:val="auto"/>
              </w:rPr>
              <w:t>prospectus) would increase (decrease) each of the amount of cash and cash equivalents, additional paid-in capital and total capitalization by approximately $</w:t>
            </w:r>
          </w:p>
        </w:tc>
        <w:tc>
          <w:tcPr>
            <w:tcW w:w="680" w:type="dxa"/>
            <w:vAlign w:val="bottom"/>
          </w:tcPr>
          <w:p>
            <w:pPr>
              <w:jc w:val="right"/>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bl>
    <w:p>
      <w:pPr>
        <w:jc w:val="both"/>
        <w:ind w:left="340"/>
        <w:spacing w:after="0" w:line="261" w:lineRule="auto"/>
        <w:rPr>
          <w:sz w:val="20"/>
          <w:szCs w:val="20"/>
          <w:color w:val="auto"/>
        </w:rPr>
      </w:pPr>
      <w:r>
        <w:rPr>
          <w:rFonts w:ascii="Arial" w:cs="Arial" w:eastAsia="Arial" w:hAnsi="Arial"/>
          <w:sz w:val="14"/>
          <w:szCs w:val="14"/>
          <w:color w:val="auto"/>
        </w:rPr>
        <w:t>assuming the number of shares offered, as set forth on the cover page of this prospectus, remains the same and after deducting estimated underwriting discounts and commissions and estimated offering costs payable by us. Each 1.0 million increase (decrease) in the number of shares offered as set forth on the cover page of this prospectus, would increase (decrease) each of our cash and cash equivalents, working capital (deficit), total assets, additional paid-in capital and total stockholders’ equity</w:t>
      </w:r>
    </w:p>
    <w:p>
      <w:pPr>
        <w:spacing w:after="0" w:line="1" w:lineRule="exact"/>
        <w:rPr>
          <w:sz w:val="20"/>
          <w:szCs w:val="20"/>
          <w:color w:val="auto"/>
        </w:rPr>
      </w:pPr>
    </w:p>
    <w:p>
      <w:pPr>
        <w:jc w:val="both"/>
        <w:ind w:left="340" w:right="20"/>
        <w:spacing w:after="0" w:line="251" w:lineRule="auto"/>
        <w:rPr>
          <w:sz w:val="20"/>
          <w:szCs w:val="20"/>
          <w:color w:val="auto"/>
        </w:rPr>
      </w:pPr>
      <w:r>
        <w:rPr>
          <w:rFonts w:ascii="Arial" w:cs="Arial" w:eastAsia="Arial" w:hAnsi="Arial"/>
          <w:sz w:val="14"/>
          <w:szCs w:val="14"/>
          <w:color w:val="auto"/>
        </w:rPr>
        <w:t>by approximately $ million, assuming no change in the assumed initial public offering price per share, and after deducting estimated underwriting discounts and commissions and estimated offering expenses payable by us.</w:t>
      </w:r>
    </w:p>
    <w:p>
      <w:pPr>
        <w:spacing w:after="0" w:line="1"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repayment of the March 2022 Loan in connection with this offering.</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repayment of the 2022 Credit Line in connection with this offering.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 40,000,000 shares of common stock outstanding as of</w:t>
      </w:r>
    </w:p>
    <w:p>
      <w:pPr>
        <w:spacing w:after="0" w:line="23" w:lineRule="exact"/>
        <w:rPr>
          <w:sz w:val="20"/>
          <w:szCs w:val="20"/>
          <w:color w:val="auto"/>
        </w:rPr>
      </w:pPr>
    </w:p>
    <w:p>
      <w:pPr>
        <w:spacing w:after="0"/>
        <w:tabs>
          <w:tab w:leader="none" w:pos="3640" w:val="left"/>
        </w:tabs>
        <w:rPr>
          <w:sz w:val="20"/>
          <w:szCs w:val="20"/>
          <w:color w:val="auto"/>
        </w:rPr>
      </w:pPr>
      <w:r>
        <w:rPr>
          <w:rFonts w:ascii="Arial" w:cs="Arial" w:eastAsia="Arial" w:hAnsi="Arial"/>
          <w:sz w:val="17"/>
          <w:szCs w:val="17"/>
          <w:color w:val="auto"/>
        </w:rPr>
        <w:t>September 30, 2022 and the issuance of</w:t>
      </w:r>
      <w:r>
        <w:rPr>
          <w:sz w:val="20"/>
          <w:szCs w:val="20"/>
          <w:color w:val="auto"/>
        </w:rPr>
        <w:tab/>
      </w:r>
      <w:r>
        <w:rPr>
          <w:rFonts w:ascii="Arial" w:cs="Arial" w:eastAsia="Arial" w:hAnsi="Arial"/>
          <w:sz w:val="17"/>
          <w:szCs w:val="17"/>
          <w:color w:val="auto"/>
        </w:rPr>
        <w:t>shares of common stock resulting from the RSU Settlement Issuance, and excludes:</w:t>
      </w:r>
    </w:p>
    <w:p>
      <w:pPr>
        <w:spacing w:after="0" w:line="167" w:lineRule="exact"/>
        <w:rPr>
          <w:sz w:val="20"/>
          <w:szCs w:val="20"/>
          <w:color w:val="auto"/>
        </w:rPr>
      </w:pPr>
    </w:p>
    <w:p>
      <w:pPr>
        <w:jc w:val="both"/>
        <w:ind w:left="660" w:hanging="328"/>
        <w:spacing w:after="0" w:line="255" w:lineRule="auto"/>
        <w:tabs>
          <w:tab w:leader="none" w:pos="1559"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of our common stock subject to the settlement of RSUs outstanding as of September 30, 2022 granted under the 2014 Plan for which the Liquidity Event Requirement will be satisfied in connection with this offering, but for which the Time-Based Requirement will not be satisfied on or before the date of this offering;</w:t>
      </w:r>
    </w:p>
    <w:p>
      <w:pPr>
        <w:jc w:val="both"/>
        <w:ind w:left="660" w:hanging="328"/>
        <w:spacing w:after="0" w:line="251" w:lineRule="auto"/>
        <w:tabs>
          <w:tab w:leader="none" w:pos="16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the 2023 Plan, which will become effective as of immediately prior to the completion of this offering, as well as any automatic increases in the number of shares of common stock reserved for future issuance under the 2023 Plan and any reserved shares not issued or subject to outstanding awards under the 2014 Plan after the effective date of the 2023 Plan that are subsequently forfeited or terminated, all of which shares shall become available for issuance under the 2023 Plan; and</w:t>
      </w:r>
    </w:p>
    <w:p>
      <w:pPr>
        <w:spacing w:after="0" w:line="3" w:lineRule="exact"/>
        <w:rPr>
          <w:rFonts w:ascii="Arial" w:cs="Arial" w:eastAsia="Arial" w:hAnsi="Arial"/>
          <w:sz w:val="17"/>
          <w:szCs w:val="17"/>
          <w:color w:val="auto"/>
        </w:rPr>
      </w:pPr>
    </w:p>
    <w:p>
      <w:pPr>
        <w:jc w:val="both"/>
        <w:ind w:left="660" w:hanging="328"/>
        <w:spacing w:after="0" w:line="265" w:lineRule="auto"/>
        <w:tabs>
          <w:tab w:leader="none" w:pos="1277"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the ESPP, which will become effective as of immediately prior to the completion of this offering, as well as any automatic increases in the number of shares of common stock reserved for future issuance under the ESPP.</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historical net tangible book value as of September 30, 2022, was approximately $ million, or $ per share of our common stock. Our historical net tangible book value is the amount of our total tangible assets less our total liabilities. Historical net tangible book value per share is our historical net tangible book value divided by the number of shares of common stock outstanding as of September 30, 2022.</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 forma net tangible book value as of September 30, 2022, was $ million, or $ per share of common stock. Our pro forma net tangible book value per share represents the amount of our total tangible assets less our total liabilities, divided by the number of our shares of common stock outstanding as of September 30, 2022, after giving effect to (i) the RSU Settlement Issuance and (ii) stock-based compensation</w:t>
      </w:r>
    </w:p>
    <w:p>
      <w:pPr>
        <w:spacing w:after="0" w:line="2" w:lineRule="exact"/>
        <w:rPr>
          <w:sz w:val="20"/>
          <w:szCs w:val="20"/>
          <w:color w:val="auto"/>
        </w:rPr>
      </w:pPr>
    </w:p>
    <w:p>
      <w:pPr>
        <w:spacing w:after="0"/>
        <w:tabs>
          <w:tab w:leader="none" w:pos="2800" w:val="left"/>
        </w:tabs>
        <w:rPr>
          <w:sz w:val="20"/>
          <w:szCs w:val="20"/>
          <w:color w:val="auto"/>
        </w:rPr>
      </w:pPr>
      <w:r>
        <w:rPr>
          <w:rFonts w:ascii="Arial" w:cs="Arial" w:eastAsia="Arial" w:hAnsi="Arial"/>
          <w:sz w:val="17"/>
          <w:szCs w:val="17"/>
          <w:color w:val="auto"/>
        </w:rPr>
        <w:t>expenses of approximately $</w:t>
      </w:r>
      <w:r>
        <w:rPr>
          <w:sz w:val="20"/>
          <w:szCs w:val="20"/>
          <w:color w:val="auto"/>
        </w:rPr>
        <w:tab/>
      </w:r>
      <w:r>
        <w:rPr>
          <w:rFonts w:ascii="Arial" w:cs="Arial" w:eastAsia="Arial" w:hAnsi="Arial"/>
          <w:sz w:val="17"/>
          <w:szCs w:val="17"/>
          <w:color w:val="auto"/>
        </w:rPr>
        <w:t>related to RSUs for which the Time-Based Requirement was satisfied on or before the date of this offering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 which the Liquidity Event Requirement will be satisfied upon the completion of this offering.</w:t>
      </w:r>
    </w:p>
    <w:p>
      <w:pPr>
        <w:spacing w:after="0" w:line="32" w:lineRule="exact"/>
        <w:rPr>
          <w:sz w:val="20"/>
          <w:szCs w:val="20"/>
          <w:color w:val="auto"/>
        </w:rPr>
      </w:pPr>
    </w:p>
    <w:p>
      <w:pPr>
        <w:spacing w:after="0"/>
        <w:tabs>
          <w:tab w:leader="none" w:pos="2920" w:val="left"/>
          <w:tab w:leader="none" w:pos="9960" w:val="left"/>
        </w:tabs>
        <w:rPr>
          <w:sz w:val="20"/>
          <w:szCs w:val="20"/>
          <w:color w:val="auto"/>
        </w:rPr>
      </w:pPr>
      <w:r>
        <w:rPr>
          <w:rFonts w:ascii="Arial" w:cs="Arial" w:eastAsia="Arial" w:hAnsi="Arial"/>
          <w:sz w:val="17"/>
          <w:szCs w:val="17"/>
          <w:color w:val="auto"/>
        </w:rPr>
        <w:t>After giving effect to our sale of</w:t>
      </w:r>
      <w:r>
        <w:rPr>
          <w:sz w:val="20"/>
          <w:szCs w:val="20"/>
          <w:color w:val="auto"/>
        </w:rPr>
        <w:tab/>
      </w:r>
      <w:r>
        <w:rPr>
          <w:rFonts w:ascii="Arial" w:cs="Arial" w:eastAsia="Arial" w:hAnsi="Arial"/>
          <w:sz w:val="17"/>
          <w:szCs w:val="17"/>
          <w:color w:val="auto"/>
        </w:rPr>
        <w:t>shares of common stock in this offering at the assumed initial public offering price of $</w:t>
      </w:r>
      <w:r>
        <w:rPr>
          <w:sz w:val="20"/>
          <w:szCs w:val="20"/>
          <w:color w:val="auto"/>
        </w:rPr>
        <w:tab/>
      </w:r>
      <w:r>
        <w:rPr>
          <w:rFonts w:ascii="Arial" w:cs="Arial" w:eastAsia="Arial" w:hAnsi="Arial"/>
          <w:sz w:val="17"/>
          <w:szCs w:val="17"/>
          <w:color w:val="auto"/>
        </w:rPr>
        <w:t>per share, which</w:t>
      </w:r>
    </w:p>
    <w:p>
      <w:pPr>
        <w:spacing w:after="0" w:line="23" w:lineRule="exact"/>
        <w:rPr>
          <w:sz w:val="20"/>
          <w:szCs w:val="20"/>
          <w:color w:val="auto"/>
        </w:rPr>
      </w:pPr>
    </w:p>
    <w:p>
      <w:pPr>
        <w:spacing w:after="0" w:line="397" w:lineRule="auto"/>
        <w:rPr>
          <w:sz w:val="20"/>
          <w:szCs w:val="20"/>
          <w:color w:val="auto"/>
        </w:rPr>
      </w:pPr>
      <w:r>
        <w:rPr>
          <w:rFonts w:ascii="Arial" w:cs="Arial" w:eastAsia="Arial" w:hAnsi="Arial"/>
          <w:sz w:val="17"/>
          <w:szCs w:val="17"/>
          <w:color w:val="auto"/>
        </w:rPr>
        <w:t>is the midpoint of the price range set forth on the cover page of this prospectus, and after deducting estimated underwriting discounts and commissions and estimated offering expenses payable by us, our pro forma as adjusted net tangible book value as of September 30, 2022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have been $ million, or $ per share. This represents an immediate increase in pro forma as adjusted net tangible book value per share of $ to our existing stockholders and an immediate dilution in pro forma as adjusted net tangible book value per share of $ to new investors purchasing common stock in this offering.</w:t>
      </w:r>
    </w:p>
    <w:p>
      <w:pPr>
        <w:spacing w:after="0" w:line="114"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4480" w:type="dxa"/>
            <w:vAlign w:val="bottom"/>
            <w:tcBorders>
              <w:top w:val="single" w:sz="8" w:color="auto"/>
            </w:tcBorders>
            <w:gridSpan w:val="2"/>
            <w:shd w:val="clear" w:color="auto" w:fill="CCEEFF"/>
          </w:tcPr>
          <w:p>
            <w:pPr>
              <w:jc w:val="right"/>
              <w:ind w:right="1295"/>
              <w:spacing w:after="0"/>
              <w:rPr>
                <w:sz w:val="20"/>
                <w:szCs w:val="20"/>
                <w:color w:val="auto"/>
              </w:rPr>
            </w:pPr>
            <w:r>
              <w:rPr>
                <w:rFonts w:ascii="Arial" w:cs="Arial" w:eastAsia="Arial" w:hAnsi="Arial"/>
                <w:sz w:val="17"/>
                <w:szCs w:val="17"/>
                <w:color w:val="auto"/>
              </w:rPr>
              <w:t>$</w:t>
            </w:r>
          </w:p>
        </w:tc>
      </w:tr>
      <w:tr>
        <w:trPr>
          <w:trHeight w:val="227"/>
        </w:trPr>
        <w:tc>
          <w:tcPr>
            <w:tcW w:w="6760" w:type="dxa"/>
            <w:vAlign w:val="bottom"/>
          </w:tcPr>
          <w:p>
            <w:pPr>
              <w:ind w:left="240"/>
              <w:spacing w:after="0"/>
              <w:rPr>
                <w:sz w:val="20"/>
                <w:szCs w:val="20"/>
                <w:color w:val="auto"/>
              </w:rPr>
            </w:pPr>
            <w:r>
              <w:rPr>
                <w:rFonts w:ascii="Arial" w:cs="Arial" w:eastAsia="Arial" w:hAnsi="Arial"/>
                <w:sz w:val="17"/>
                <w:szCs w:val="17"/>
                <w:color w:val="auto"/>
              </w:rPr>
              <w:t>Historical net tangible book value per share as of September 30, 2022</w:t>
            </w:r>
          </w:p>
        </w:tc>
        <w:tc>
          <w:tcPr>
            <w:tcW w:w="3000" w:type="dxa"/>
            <w:vAlign w:val="bottom"/>
          </w:tcPr>
          <w:p>
            <w:pPr>
              <w:jc w:val="right"/>
              <w:ind w:right="1395"/>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9"/>
                <w:szCs w:val="19"/>
                <w:color w:val="auto"/>
              </w:rPr>
            </w:pPr>
          </w:p>
        </w:tc>
      </w:tr>
      <w:tr>
        <w:trPr>
          <w:trHeight w:val="164"/>
        </w:trPr>
        <w:tc>
          <w:tcPr>
            <w:tcW w:w="11240" w:type="dxa"/>
            <w:vAlign w:val="bottom"/>
            <w:gridSpan w:val="3"/>
            <w:shd w:val="clear" w:color="auto" w:fill="CCEEFF"/>
          </w:tcPr>
          <w:p>
            <w:pPr>
              <w:ind w:left="240"/>
              <w:spacing w:after="0" w:line="164" w:lineRule="exact"/>
              <w:rPr>
                <w:sz w:val="20"/>
                <w:szCs w:val="20"/>
                <w:color w:val="auto"/>
              </w:rPr>
            </w:pPr>
            <w:r>
              <w:rPr>
                <w:rFonts w:ascii="Arial" w:cs="Arial" w:eastAsia="Arial" w:hAnsi="Arial"/>
                <w:sz w:val="17"/>
                <w:szCs w:val="17"/>
                <w:color w:val="auto"/>
              </w:rPr>
              <w:t>Pro forma increase in net tangible book value per share as of September 30, 2022 before giving effect to</w:t>
            </w:r>
          </w:p>
        </w:tc>
      </w:tr>
      <w:tr>
        <w:trPr>
          <w:trHeight w:val="229"/>
        </w:trPr>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this offering</w:t>
            </w:r>
          </w:p>
        </w:tc>
        <w:tc>
          <w:tcPr>
            <w:tcW w:w="30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7"/>
        </w:trPr>
        <w:tc>
          <w:tcPr>
            <w:tcW w:w="6760" w:type="dxa"/>
            <w:vAlign w:val="bottom"/>
          </w:tcPr>
          <w:p>
            <w:pPr>
              <w:ind w:left="240"/>
              <w:spacing w:after="0"/>
              <w:rPr>
                <w:sz w:val="20"/>
                <w:szCs w:val="20"/>
                <w:color w:val="auto"/>
              </w:rPr>
            </w:pPr>
            <w:r>
              <w:rPr>
                <w:rFonts w:ascii="Arial" w:cs="Arial" w:eastAsia="Arial" w:hAnsi="Arial"/>
                <w:sz w:val="17"/>
                <w:szCs w:val="17"/>
                <w:color w:val="auto"/>
              </w:rPr>
              <w:t>Pro forma net tangible book value per share as of September 30, 2022</w:t>
            </w:r>
          </w:p>
        </w:tc>
        <w:tc>
          <w:tcPr>
            <w:tcW w:w="30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64"/>
        </w:trPr>
        <w:tc>
          <w:tcPr>
            <w:tcW w:w="11240" w:type="dxa"/>
            <w:vAlign w:val="bottom"/>
            <w:gridSpan w:val="3"/>
            <w:shd w:val="clear" w:color="auto" w:fill="CCEEFF"/>
          </w:tcPr>
          <w:p>
            <w:pPr>
              <w:ind w:left="240"/>
              <w:spacing w:after="0" w:line="164" w:lineRule="exact"/>
              <w:rPr>
                <w:sz w:val="20"/>
                <w:szCs w:val="20"/>
                <w:color w:val="auto"/>
              </w:rPr>
            </w:pPr>
            <w:r>
              <w:rPr>
                <w:rFonts w:ascii="Arial" w:cs="Arial" w:eastAsia="Arial" w:hAnsi="Arial"/>
                <w:sz w:val="17"/>
                <w:szCs w:val="17"/>
                <w:color w:val="auto"/>
              </w:rPr>
              <w:t>Increase in pro forma net tangible book value per share attributable to investors participating in this</w:t>
            </w:r>
          </w:p>
        </w:tc>
      </w:tr>
      <w:tr>
        <w:trPr>
          <w:trHeight w:val="230"/>
        </w:trPr>
        <w:tc>
          <w:tcPr>
            <w:tcW w:w="6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offering</w:t>
            </w:r>
          </w:p>
        </w:tc>
        <w:tc>
          <w:tcPr>
            <w:tcW w:w="30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Pro forma as adjusted net tangible book value per share after giving effect to this offering</w:t>
            </w:r>
          </w:p>
        </w:tc>
        <w:tc>
          <w:tcPr>
            <w:tcW w:w="4480" w:type="dxa"/>
            <w:vAlign w:val="bottom"/>
            <w:gridSpan w:val="2"/>
          </w:tcPr>
          <w:p>
            <w:pPr>
              <w:jc w:val="right"/>
              <w:ind w:right="2155"/>
              <w:spacing w:after="0"/>
              <w:rPr>
                <w:sz w:val="20"/>
                <w:szCs w:val="20"/>
                <w:color w:val="auto"/>
              </w:rPr>
            </w:pPr>
            <w:r>
              <w:rPr>
                <w:rFonts w:ascii="Arial" w:cs="Arial" w:eastAsia="Arial" w:hAnsi="Arial"/>
                <w:sz w:val="17"/>
                <w:szCs w:val="17"/>
                <w:color w:val="auto"/>
              </w:rPr>
              <w:t>—</w:t>
            </w:r>
          </w:p>
        </w:tc>
      </w:tr>
      <w:tr>
        <w:trPr>
          <w:trHeight w:val="250"/>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as adjusted dilution per share to investors participating in this offering</w:t>
            </w:r>
          </w:p>
        </w:tc>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ind w:right="1295"/>
              <w:spacing w:after="0"/>
              <w:rPr>
                <w:sz w:val="20"/>
                <w:szCs w:val="20"/>
                <w:color w:val="auto"/>
              </w:rPr>
            </w:pPr>
            <w:r>
              <w:rPr>
                <w:rFonts w:ascii="Arial" w:cs="Arial" w:eastAsia="Arial" w:hAnsi="Arial"/>
                <w:sz w:val="17"/>
                <w:szCs w:val="17"/>
                <w:color w:val="auto"/>
                <w:w w:val="84"/>
              </w:rPr>
              <w:t>$</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76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446"/>
        </w:trPr>
        <w:tc>
          <w:tcPr>
            <w:tcW w:w="6760" w:type="dxa"/>
            <w:vAlign w:val="bottom"/>
          </w:tcPr>
          <w:p>
            <w:pPr>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480" w:type="dxa"/>
            <w:vAlign w:val="bottom"/>
            <w:gridSpan w:val="2"/>
          </w:tcPr>
          <w:p>
            <w:pPr>
              <w:jc w:val="right"/>
              <w:spacing w:after="0"/>
              <w:rPr>
                <w:sz w:val="20"/>
                <w:szCs w:val="20"/>
                <w:color w:val="auto"/>
              </w:rPr>
            </w:pPr>
            <w:r>
              <w:rPr>
                <w:rFonts w:ascii="Arial" w:cs="Arial" w:eastAsia="Arial" w:hAnsi="Arial"/>
                <w:sz w:val="17"/>
                <w:szCs w:val="17"/>
                <w:color w:val="auto"/>
              </w:rPr>
              <w:t>per share (the midpoint of the price range set forth on the</w:t>
            </w:r>
          </w:p>
        </w:tc>
      </w:tr>
    </w:tbl>
    <w:p>
      <w:pPr>
        <w:spacing w:after="0"/>
        <w:rPr>
          <w:sz w:val="20"/>
          <w:szCs w:val="20"/>
          <w:color w:val="auto"/>
        </w:rPr>
      </w:pPr>
      <w:r>
        <w:rPr>
          <w:rFonts w:ascii="Arial" w:cs="Arial" w:eastAsia="Arial" w:hAnsi="Arial"/>
          <w:sz w:val="17"/>
          <w:szCs w:val="17"/>
          <w:color w:val="auto"/>
        </w:rPr>
        <w:t>cover page of this prospectus) would increase (decrease) the pro forma as adjusted net tangible book value per share after this offering by</w:t>
      </w:r>
    </w:p>
    <w:p>
      <w:pPr>
        <w:spacing w:after="0" w:line="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approximately $ per share and the dilution in pro forma per share to investors participating in this offering by approximately $ per share, assuming that the number of shares offered, as set forth on the cover page of this prospectus, remains the same and after deducting estimated underwriting discounts and commissions and estimated offering expenses payable by us.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 1.0 million share increase in the number of shares offered, as set forth on the cover of this prospectus, would increase the pro forma as adjusted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gridSpan w:val="3"/>
          </w:tcPr>
          <w:p>
            <w:pPr>
              <w:spacing w:after="0"/>
              <w:rPr>
                <w:sz w:val="20"/>
                <w:szCs w:val="20"/>
                <w:color w:val="auto"/>
              </w:rPr>
            </w:pPr>
            <w:r>
              <w:rPr>
                <w:rFonts w:ascii="Arial" w:cs="Arial" w:eastAsia="Arial" w:hAnsi="Arial"/>
                <w:sz w:val="17"/>
                <w:szCs w:val="17"/>
                <w:color w:val="auto"/>
              </w:rPr>
              <w:t>net tangible book value per share after this offering by approximately $</w:t>
            </w:r>
          </w:p>
        </w:tc>
        <w:tc>
          <w:tcPr>
            <w:tcW w:w="5280" w:type="dxa"/>
            <w:vAlign w:val="bottom"/>
            <w:gridSpan w:val="3"/>
          </w:tcPr>
          <w:p>
            <w:pPr>
              <w:jc w:val="right"/>
              <w:spacing w:after="0"/>
              <w:rPr>
                <w:sz w:val="20"/>
                <w:szCs w:val="20"/>
                <w:color w:val="auto"/>
              </w:rPr>
            </w:pPr>
            <w:r>
              <w:rPr>
                <w:rFonts w:ascii="Arial" w:cs="Arial" w:eastAsia="Arial" w:hAnsi="Arial"/>
                <w:sz w:val="17"/>
                <w:szCs w:val="17"/>
                <w:color w:val="auto"/>
              </w:rPr>
              <w:t>, and decrease the dilution in pro forma per share to investors</w:t>
            </w:r>
          </w:p>
        </w:tc>
      </w:tr>
      <w:tr>
        <w:trPr>
          <w:trHeight w:val="203"/>
        </w:trPr>
        <w:tc>
          <w:tcPr>
            <w:tcW w:w="3880" w:type="dxa"/>
            <w:vAlign w:val="bottom"/>
          </w:tcPr>
          <w:p>
            <w:pPr>
              <w:spacing w:after="0"/>
              <w:rPr>
                <w:sz w:val="20"/>
                <w:szCs w:val="20"/>
                <w:color w:val="auto"/>
              </w:rPr>
            </w:pPr>
            <w:r>
              <w:rPr>
                <w:rFonts w:ascii="Arial" w:cs="Arial" w:eastAsia="Arial" w:hAnsi="Arial"/>
                <w:sz w:val="17"/>
                <w:szCs w:val="17"/>
                <w:color w:val="auto"/>
              </w:rPr>
              <w:t>participating in this offering by approximately $</w:t>
            </w:r>
          </w:p>
        </w:tc>
        <w:tc>
          <w:tcPr>
            <w:tcW w:w="7360" w:type="dxa"/>
            <w:vAlign w:val="bottom"/>
            <w:gridSpan w:val="5"/>
          </w:tcPr>
          <w:p>
            <w:pPr>
              <w:jc w:val="center"/>
              <w:ind w:left="235"/>
              <w:spacing w:after="0"/>
              <w:rPr>
                <w:sz w:val="20"/>
                <w:szCs w:val="20"/>
                <w:color w:val="auto"/>
              </w:rPr>
            </w:pPr>
            <w:r>
              <w:rPr>
                <w:rFonts w:ascii="Arial" w:cs="Arial" w:eastAsia="Arial" w:hAnsi="Arial"/>
                <w:sz w:val="17"/>
                <w:szCs w:val="17"/>
                <w:color w:val="auto"/>
              </w:rPr>
              <w:t>, and a 1.0 million share decrease in the number of shares offered by us would decrease the</w:t>
            </w:r>
          </w:p>
        </w:tc>
      </w:tr>
      <w:tr>
        <w:trPr>
          <w:trHeight w:val="203"/>
        </w:trPr>
        <w:tc>
          <w:tcPr>
            <w:tcW w:w="7340" w:type="dxa"/>
            <w:vAlign w:val="bottom"/>
            <w:gridSpan w:val="4"/>
          </w:tcPr>
          <w:p>
            <w:pPr>
              <w:spacing w:after="0"/>
              <w:rPr>
                <w:sz w:val="20"/>
                <w:szCs w:val="20"/>
                <w:color w:val="auto"/>
              </w:rPr>
            </w:pPr>
            <w:r>
              <w:rPr>
                <w:rFonts w:ascii="Arial" w:cs="Arial" w:eastAsia="Arial" w:hAnsi="Arial"/>
                <w:sz w:val="17"/>
                <w:szCs w:val="17"/>
                <w:color w:val="auto"/>
              </w:rPr>
              <w:t>pro forma as adjusted net tangible book value per share after this offering by approximately $</w:t>
            </w:r>
          </w:p>
        </w:tc>
        <w:tc>
          <w:tcPr>
            <w:tcW w:w="3900" w:type="dxa"/>
            <w:vAlign w:val="bottom"/>
            <w:gridSpan w:val="2"/>
          </w:tcPr>
          <w:p>
            <w:pPr>
              <w:jc w:val="right"/>
              <w:spacing w:after="0"/>
              <w:rPr>
                <w:sz w:val="20"/>
                <w:szCs w:val="20"/>
                <w:color w:val="auto"/>
              </w:rPr>
            </w:pPr>
            <w:r>
              <w:rPr>
                <w:rFonts w:ascii="Arial" w:cs="Arial" w:eastAsia="Arial" w:hAnsi="Arial"/>
                <w:sz w:val="17"/>
                <w:szCs w:val="17"/>
                <w:color w:val="auto"/>
              </w:rPr>
              <w:t>and increase the dilution in pro forma per share</w:t>
            </w:r>
          </w:p>
        </w:tc>
      </w:tr>
      <w:tr>
        <w:trPr>
          <w:trHeight w:val="218"/>
        </w:trPr>
        <w:tc>
          <w:tcPr>
            <w:tcW w:w="4800" w:type="dxa"/>
            <w:vAlign w:val="bottom"/>
            <w:gridSpan w:val="2"/>
          </w:tcPr>
          <w:p>
            <w:pPr>
              <w:spacing w:after="0"/>
              <w:rPr>
                <w:sz w:val="20"/>
                <w:szCs w:val="20"/>
                <w:color w:val="auto"/>
              </w:rPr>
            </w:pPr>
            <w:r>
              <w:rPr>
                <w:rFonts w:ascii="Arial" w:cs="Arial" w:eastAsia="Arial" w:hAnsi="Arial"/>
                <w:sz w:val="17"/>
                <w:szCs w:val="17"/>
                <w:color w:val="auto"/>
              </w:rPr>
              <w:t>to investors participating in this offering by approximately $</w:t>
            </w:r>
          </w:p>
        </w:tc>
        <w:tc>
          <w:tcPr>
            <w:tcW w:w="5860" w:type="dxa"/>
            <w:vAlign w:val="bottom"/>
            <w:gridSpan w:val="3"/>
          </w:tcPr>
          <w:p>
            <w:pPr>
              <w:jc w:val="center"/>
              <w:spacing w:after="0"/>
              <w:rPr>
                <w:sz w:val="20"/>
                <w:szCs w:val="20"/>
                <w:color w:val="auto"/>
              </w:rPr>
            </w:pPr>
            <w:r>
              <w:rPr>
                <w:rFonts w:ascii="Arial" w:cs="Arial" w:eastAsia="Arial" w:hAnsi="Arial"/>
                <w:sz w:val="17"/>
                <w:szCs w:val="17"/>
                <w:color w:val="auto"/>
              </w:rPr>
              <w:t>, in each case assuming the assumed initial public offering price of $</w:t>
            </w:r>
          </w:p>
        </w:tc>
        <w:tc>
          <w:tcPr>
            <w:tcW w:w="580" w:type="dxa"/>
            <w:vAlign w:val="bottom"/>
          </w:tcPr>
          <w:p>
            <w:pPr>
              <w:jc w:val="right"/>
              <w:spacing w:after="0"/>
              <w:rPr>
                <w:sz w:val="20"/>
                <w:szCs w:val="20"/>
                <w:color w:val="auto"/>
              </w:rPr>
            </w:pPr>
            <w:r>
              <w:rPr>
                <w:rFonts w:ascii="Arial" w:cs="Arial" w:eastAsia="Arial" w:hAnsi="Arial"/>
                <w:sz w:val="17"/>
                <w:szCs w:val="17"/>
                <w:color w:val="auto"/>
              </w:rPr>
              <w:t>per</w:t>
            </w:r>
          </w:p>
        </w:tc>
      </w:tr>
    </w:tbl>
    <w:p>
      <w:pPr>
        <w:jc w:val="both"/>
        <w:ind w:right="20"/>
        <w:spacing w:after="0" w:line="281" w:lineRule="auto"/>
        <w:rPr>
          <w:sz w:val="20"/>
          <w:szCs w:val="20"/>
          <w:color w:val="auto"/>
        </w:rPr>
      </w:pPr>
      <w:r>
        <w:rPr>
          <w:rFonts w:ascii="Arial" w:cs="Arial" w:eastAsia="Arial" w:hAnsi="Arial"/>
          <w:sz w:val="17"/>
          <w:szCs w:val="17"/>
          <w:color w:val="auto"/>
        </w:rPr>
        <w:t>share (the midpoint of the price range set forth on the cover of this prospectus) remains the same, and after deducting estimated underwriting discounts and commissions and estimated offering expenses payable by us.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shares in full, the pro forma as adjusted net tangible book value will increase to</w:t>
      </w:r>
    </w:p>
    <w:p>
      <w:pPr>
        <w:spacing w:after="0" w:line="29" w:lineRule="exact"/>
        <w:rPr>
          <w:sz w:val="20"/>
          <w:szCs w:val="20"/>
          <w:color w:val="auto"/>
        </w:rPr>
      </w:pPr>
    </w:p>
    <w:p>
      <w:pPr>
        <w:ind w:left="720" w:hanging="712"/>
        <w:spacing w:after="0"/>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 share, representing an immediate increase in pro forma as adjusted net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52</w:t>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tangible book value to our existing stockholders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per share and an immediate decrease of dilution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per share to new investors</w:t>
      </w:r>
    </w:p>
    <w:p>
      <w:pPr>
        <w:spacing w:after="0" w:line="29" w:lineRule="exact"/>
        <w:rPr>
          <w:sz w:val="20"/>
          <w:szCs w:val="20"/>
          <w:color w:val="auto"/>
        </w:rPr>
      </w:pPr>
    </w:p>
    <w:p>
      <w:pPr>
        <w:sectPr>
          <w:pgSz w:w="11900" w:h="16838" w:orient="portrait"/>
          <w:cols w:equalWidth="0" w:num="3">
            <w:col w:w="3940" w:space="640"/>
            <w:col w:w="4000" w:space="640"/>
            <w:col w:w="202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participating in this offering.</w:t>
      </w:r>
    </w:p>
    <w:p>
      <w:pPr>
        <w:sectPr>
          <w:pgSz w:w="11900" w:h="16838" w:orient="portrait"/>
          <w:cols w:equalWidth="0" w:num="1">
            <w:col w:w="11240"/>
          </w:cols>
          <w:pgMar w:left="320" w:top="125" w:right="339" w:bottom="1440" w:gutter="0" w:footer="0" w:header="0"/>
          <w:type w:val="continuous"/>
        </w:sectPr>
      </w:pP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following table summarizes, on a pro forma as adjusted basis as of September 30, 2022, the number of shares purchased or to be purchased from us, the total consideration paid or to be paid to us, and the average price per share paid to us by our existing stockholders and paid us to by</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investors participating in this offering at an assumed initial public offering price of $ per share (the midpoint of the price range set forth on the cover page of this prospectus), before deducting estimated underwriting discounts and commissions and estimated offering expenses payable by us. As the table below shows, investors participating in this offering will pay an average price per share substantially higher than our existing stockholders paid.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0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gridSpan w:val="3"/>
            <w:vMerge w:val="restart"/>
          </w:tcPr>
          <w:p>
            <w:pPr>
              <w:jc w:val="right"/>
              <w:ind w:right="521"/>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4"/>
            <w:vMerge w:val="restart"/>
          </w:tcPr>
          <w:p>
            <w:pPr>
              <w:jc w:val="right"/>
              <w:ind w:right="701"/>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26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1260" w:type="dxa"/>
            <w:vAlign w:val="bottom"/>
          </w:tcPr>
          <w:p>
            <w:pPr>
              <w:jc w:val="right"/>
              <w:ind w:right="181"/>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401"/>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Existing stockholders</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12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3900" w:type="dxa"/>
            <w:vAlign w:val="bottom"/>
            <w:tcBorders>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0"/>
        </w:trPr>
        <w:tc>
          <w:tcPr>
            <w:tcW w:w="7540" w:type="dxa"/>
            <w:vAlign w:val="bottom"/>
            <w:gridSpan w:val="7"/>
          </w:tcPr>
          <w:p>
            <w:pPr>
              <w:spacing w:after="0"/>
              <w:rPr>
                <w:sz w:val="20"/>
                <w:szCs w:val="20"/>
                <w:color w:val="auto"/>
              </w:rPr>
            </w:pPr>
            <w:r>
              <w:rPr>
                <w:rFonts w:ascii="Arial" w:cs="Arial" w:eastAsia="Arial" w:hAnsi="Arial"/>
                <w:sz w:val="17"/>
                <w:szCs w:val="17"/>
                <w:color w:val="auto"/>
              </w:rPr>
              <w:t>The table above assumes no exercise of the underwriters’ option to purchase up to an additional</w:t>
            </w:r>
          </w:p>
        </w:tc>
        <w:tc>
          <w:tcPr>
            <w:tcW w:w="420" w:type="dxa"/>
            <w:vAlign w:val="bottom"/>
          </w:tcPr>
          <w:p>
            <w:pPr>
              <w:spacing w:after="0"/>
              <w:rPr>
                <w:sz w:val="24"/>
                <w:szCs w:val="24"/>
                <w:color w:val="auto"/>
              </w:rPr>
            </w:pPr>
          </w:p>
        </w:tc>
        <w:tc>
          <w:tcPr>
            <w:tcW w:w="3280" w:type="dxa"/>
            <w:vAlign w:val="bottom"/>
            <w:gridSpan w:val="5"/>
          </w:tcPr>
          <w:p>
            <w:pPr>
              <w:jc w:val="right"/>
              <w:spacing w:after="0"/>
              <w:rPr>
                <w:sz w:val="20"/>
                <w:szCs w:val="20"/>
                <w:color w:val="auto"/>
              </w:rPr>
            </w:pPr>
            <w:r>
              <w:rPr>
                <w:rFonts w:ascii="Arial" w:cs="Arial" w:eastAsia="Arial" w:hAnsi="Arial"/>
                <w:sz w:val="17"/>
                <w:szCs w:val="17"/>
                <w:color w:val="auto"/>
              </w:rPr>
              <w:t>shares in this offering. If the underwriters’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option to purchase additional shares is exercised in full, the number of shares of our common stock held by the existing stockholders would be</w:t>
      </w:r>
    </w:p>
    <w:p>
      <w:pPr>
        <w:spacing w:after="0" w:line="38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 40,000,000 shares of common stock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and the issuance of shares of common stock resulting from the RSU Settlement Issuance, and excludes:</w:t>
      </w:r>
    </w:p>
    <w:p>
      <w:pPr>
        <w:spacing w:after="0" w:line="167" w:lineRule="exact"/>
        <w:rPr>
          <w:sz w:val="20"/>
          <w:szCs w:val="20"/>
          <w:color w:val="auto"/>
        </w:rPr>
      </w:pPr>
    </w:p>
    <w:p>
      <w:pPr>
        <w:jc w:val="both"/>
        <w:ind w:left="660" w:hanging="328"/>
        <w:spacing w:after="0" w:line="260" w:lineRule="auto"/>
        <w:tabs>
          <w:tab w:leader="none" w:pos="1303"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shares of our common stock subject to the settlement of RSUs outstanding as of September 30, 2022 granted under the 2014 Plan for which the Liquidity Event Requirement will be satisfied upon the completion of this offering, but for which the Time-Based Requirement will not be satisfied on or before the date of this offering;</w:t>
      </w:r>
    </w:p>
    <w:p>
      <w:pPr>
        <w:spacing w:after="0" w:line="1" w:lineRule="exact"/>
        <w:rPr>
          <w:rFonts w:ascii="Arial" w:cs="Arial" w:eastAsia="Arial" w:hAnsi="Arial"/>
          <w:sz w:val="17"/>
          <w:szCs w:val="17"/>
          <w:color w:val="auto"/>
        </w:rPr>
      </w:pPr>
    </w:p>
    <w:p>
      <w:pPr>
        <w:ind w:left="1380" w:hanging="1048"/>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the 2023 Plan, which will become effective as of immediately prior</w:t>
      </w:r>
    </w:p>
    <w:p>
      <w:pPr>
        <w:spacing w:after="0" w:line="7" w:lineRule="exact"/>
        <w:rPr>
          <w:sz w:val="20"/>
          <w:szCs w:val="20"/>
          <w:color w:val="auto"/>
        </w:rPr>
      </w:pPr>
    </w:p>
    <w:p>
      <w:pPr>
        <w:jc w:val="both"/>
        <w:ind w:left="660"/>
        <w:spacing w:after="0" w:line="251" w:lineRule="auto"/>
        <w:rPr>
          <w:sz w:val="20"/>
          <w:szCs w:val="20"/>
          <w:color w:val="auto"/>
        </w:rPr>
      </w:pPr>
      <w:r>
        <w:rPr>
          <w:rFonts w:ascii="Arial" w:cs="Arial" w:eastAsia="Arial" w:hAnsi="Arial"/>
          <w:sz w:val="17"/>
          <w:szCs w:val="17"/>
          <w:color w:val="auto"/>
        </w:rPr>
        <w:t>to the completion of this offering, with such number of shares reserved for issuance under the 2023 Plan being inclusive of shares that were reserved for future issuance under the 2014 Plan but transferred to the 2023 Plan effective immediately prior to completion of this offering; and</w:t>
      </w:r>
    </w:p>
    <w:p>
      <w:pPr>
        <w:jc w:val="both"/>
        <w:ind w:left="660" w:hanging="328"/>
        <w:spacing w:after="0" w:line="261" w:lineRule="auto"/>
        <w:tabs>
          <w:tab w:leader="none" w:pos="12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the ESPP, which will become effective as of immediately prior to the completion of this offering, as well as any automatic increases in the number of shares of common stock reserved for future issuance under the ESPP.</w:t>
      </w:r>
    </w:p>
    <w:p>
      <w:pPr>
        <w:spacing w:after="0" w:line="137"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To the extent that any outstanding RSUs vest and settle or RSUs are issued under our stock-based compensation plans, or we issue additional shares of common stock in the future, there will be further dilution to investors participating in this offering.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financial condition and results of operations together with our audited consolidated financial statements and related notes included elsewhere in this prospectus. This discussion and other parts of this prospectus contain forward-looking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Please also see the section titled “Special Note Regarding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provider of TCAD software, EDA software and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SoC and ICs, and SIP management tools to enable team collaborations on complex SoC designs. Our customers include semiconductor manufacturers, OEMs and design teams who deploy our solutions in production flows across our target markets, including display, power devices, automotive, memory, HPC, IoT and 5G/6G mobile markets.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go-to-market strategy centers on selling software solutions and associated maintenance and services. Our software solutions accounted for 69% and 71% of our revenue for the years ended December 31, 2020 and 2021, respectively, and associated maintenance and services accounted for 31% and 29% of our revenue for the years ended December 31, 2020 and 2021, respectively. Our software licenses accounted for 69% and 76% of our revenue for the nine months ended September 30, 2021 and 2022, respectively, and associated maintenance and services accounted for 31% and 24% of our revenue for the nine months ended September 30, 2021 and 2022, respectively. For the year ended December 31, 2020, approximately 78% of our bookings came from existing customers and 22% came from new customers, and for the year ended December 31, 2021, approximately 85% of our bookings came from existing customers and 15% came from new customers. For the nine months ended September 30, 2021, approximately 82% of our bookings came from existing customers and 18% came from new customers, and for the nine months ended September 30, 2022, approximately 85% of our bookings came from existing customers and 15% came from new customers. See “—Key Operating Indicators and Non-GAAP Financial Measures—Bookings” for a description of how we define bookings.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experienced an increase in bookings and revenue over the past two years. Our revenue was $40.3 million and $42.0 million for the years ended December 31, 2020 and 2021, respectively, and was $31.1 million and $36.7 million for the nine months ended September 30, 2021 and 2022, respectively. Our bookings were $44.0 million and $47.3 million for the years ended December 31, 2020 and 2021, respectively, and were $30.6 million and $37.3 million for the nine months ended September 30, 2021 and 2022, respectively. We had net income of $2.6 million for the year ended December 31, 2020 and, as a result of increased operating expenses in connection with our preparation for this offering,we had a net loss of $1.8 million for the year ended December 31, 2021. We recorded net losses of $0.7 million and $0.9 million for the nine months ended September 30, 2021 and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Since 2015, we have acquired nine businesses, assets and/or technologies to complement our existing software solution offerings, expand into new markets or grow our existing market share, increase our engineering talent and enhance our technical capabilities. For example, in November 2020, we acquired the memory compiler assets and resources of Dolphin for $1.2 million to provide embedded memory and register files for SoC designers and foundries. In January 2021, we acquired PolytEDA Cloud LLC, or PolytEDA, for $1.9 million to expand our capabilities for rapid physical verification of IC designs prior to mask creation and manufacturing and for cloud enablement of EDA software tools.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continuing to monitor the impact of COVID-19 on all aspects of our business. The COVID-19 pandemic has caused and may continue to cause travel bans or disruptions, and in some cases, prohibition of non-essential activities, disruption and shutdown of businesses and greater uncertainty in global financial markets. The impact of COVID-19 is fluid and uncertain, but it has caused and may continue to cause various negative effects, including an inability to meet with actual or potential customers, customers deciding to delay or abandon their planned purchases or failing to make payments to us, closures in our customers’ offices, and delays or disruptions in our customers’ supply chains.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a result of the COVID-19 pandemic, we expended resources to enable our employees to work from home, resulting in additional capital expenditures of approximately $0.3 million in 2020 and $0.2 million in 2021. For example, we used resources to strengthen our cybersecurity measures and provide employees with work from home stipends, computers and related equipment, and enhanced internet bandwidth connections. In some locations we incurred costs associated with the transition from work from home back to our offices, including sanitization costs and cost related to creating workstations and work schedule that permit social distancing. In other locations, we closed, and have not reopened, our offices. To help alleviate the impacts of the COVID-19 pandemic, we received a PPP loan pursuant to the CARES Act on May 7, 2020, in an aggregate principal amount of $2.3 million. We used proceeds of the PPP Loan to fund qualifying payroll and other expenses. On June 29, 2021, the PPP Loan was forgiven in full in the amount of $2.3 million in principal and $26 thousand in interest. While the costs associated with the work from home and back to office transitions impacted our business during the fiscal years ended December 31, 2020 and 2021, our capital expenditures have returned to levels where we believe the COVID-19 pandemic is no longer having a notable impact.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ability to close transactions with new and existing customers, our demand generation activities, and the efficiency and effect of those activities may be negatively affected, and it has been and, until the COVID-19 pandemic is contained, will continue to, be more difficult for us to forecast our operating results. These uncertainties have, and may continue to, put pressure on global economic conditions. Overall research and development spending has caused, and may continue to cause, our customers to modify spending priorities or delay or abandon purchasing decisions, thereby lengthening bookings cycles for our software solutions and making it difficult for us to forecast bookings and operating results and make decisions about future investments, any of which could materially harm our business, operating results and financial condition.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Further, our management team is focused on addressing the impacts of COVID-19 on our business, which has required and will continue to require, a large investment of their time and resources and may distract our management team or disrupt our operating plans. The extent to which COVID-19 ultimately impacts our results of operations, cash flow and financial position will depend on future developments, which are uncertain and cannot be predicted, including but not limited to, the duration and spread of the pandemic, its severity, the actions taken by governments and authorities to contain the virus or treat its impact, and how quickly and to what extent normal economic and operating conditions can resume.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Russia and Ukraine Conflict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February 2022, Russia invaded Ukraine, and the ensuing conflict has created disruption in the region and around the world. However, we do not currently consider Russia's invasion of Ukraine to have had a material impact on our business. None of our revenue was derived from our Russian or Ukrainian subsidiaries in the year ended December 31, 2021 or in the nine months ended September 30, 2022. In addition, neither of our Russian nor Ukrainian subsidiaries comprise, or is expected to comprise, a material portion of our net assets which consist primarily of computers, laptops and audio/visual equipment. In addition, we have an aggregate of 17 employees and 2 contractors in the affected region. As a result of economic uncertainties and disruption created by the initiation of war, we recorded, during the nine months ended September 30, 2022, an impairment charge of $0.6 million to write down the carrying value of intangible assets associated with our Ukrainian subsidiary, which management determined would not be recoverable. See also Note 5, Acquisitions, Note 6, Goodwill and Intangible Assets and </w:t>
      </w:r>
      <w:r>
        <w:rPr>
          <w:rFonts w:ascii="Arial" w:cs="Arial" w:eastAsia="Arial" w:hAnsi="Arial"/>
          <w:sz w:val="17"/>
          <w:szCs w:val="17"/>
          <w:u w:val="single" w:color="auto"/>
          <w:color w:val="0000FF"/>
        </w:rPr>
        <w:t>Note 13</w:t>
      </w:r>
      <w:r>
        <w:rPr>
          <w:rFonts w:ascii="Arial" w:cs="Arial" w:eastAsia="Arial" w:hAnsi="Arial"/>
          <w:sz w:val="17"/>
          <w:szCs w:val="17"/>
          <w:color w:val="auto"/>
        </w:rPr>
        <w:t>, Fair Value of Financial Instruments, of our unaudited condensed consolidated financial statements for the nine months ended September 30, 2022.</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continue to closely monitor the ongoing conflict and related sanctions in the affected region, such as potential sanctions related to employing individuals located in the affected area, which could impact our results of operations in the future. Other impacts due to the evolving conflict are currently unknown and could potentially subject our business to adverse consequences should the situation escalate beyond its current scope or affect our customers outside of the region.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the growth of our business and our future success are dependent upon many factors including those described above under “Risk Factors” and elsewhere in this prospectus and those described below. While each of these factors presents significant opportunities for us, these factors also pose challenges that we must successfully address to sustain the growth of our business and enhance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Our Existing Customers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Building long-term relationships with our existing customer base is critical in driving renewals for our licenses and overall revenue growth. We have a global sales force selling to semiconductor companies and engineering universities which instruct the next generation of chip designers and fabrication facility managers on the use and benefits of our design tools. Most of our customers enter into multi-year software license agreements for a fixed price including a multi-year software license and maintenance and services.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When we renew expiring contracts with our customers, we may increase our bookings by selling them additional or new software or SIP. Our total bookings increased by 7.5% from $44.0 million in fiscal year 2020 to $47.3 million in fiscal year 2021. Our total bookings increased by 22% from $30.6 million in the nine months ended September 30, 2021 to $37.3 million in the nine months ended September 30, 2022. Our ability to continue to generate sales from our existing customers and to expand those relationships is dependent on our ability to continue to offer software solutions that our existing and potential customers demand. Any failure to continue to generate sales with our existing customers or expand our product and service offerings with our existing customers may have an adverse effect on our revenue and results of operations.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remove, delete and return all software, related documentation and confidential information furnished under the license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into New Markets and Applications and Expansion of our Existing Markets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According to Grand View Research, the global EDA software market was estimated to reach $10.2 billion in potential revenue in 2021 and is expected to reach $22.2 billion in potential revenue in 2030, representing a 9.1% CAGR, driven in part by the growth in the integrated circuits and electronics manufacturing markets, growing complexity of semiconductor and photonics designs and increasing challenges associated with advanced materials and shrinking process technology nodes across the EDA market. We believe these trends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28% and 32% of revenue for the years ended December 31, 2020 and 2021, respectively, and was 32% and 27% of revenue for the nine months ended September 30, 2021 and 2022, respectively. We plan to continue to invest in our software solutions to establish and expand a leadership position in our target markets. We also plan to use our research and development efforts to continue to cater to strategic customer needs.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Successfully Identify, Complete and Integrate Acquisitions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success depends in part on our ability to identify, complete and integrate acquisitions. Our goal for future potential acquisition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revenue is derived from software licensing and maintenance and services. Our customer agreements include combinations of licensed software and maintenance and services, which are accounted for as separate performance obligations with differing revenue recognition patterns.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License Revenue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Revenue from our software licenses is classified as software license revenue. Software license revenue is recognized upfront upon delivery of the licensed product. We also offer licenses of our standard SIP developed both in house and in partnership with third parties. Our SIP licenses provide customers with access to SoC design SIP which meet established industry standards, thus saving customers the time and resources required to develop similar design methodologies. Our SIP are generally ready to use upon delivery, meaning no customization is required for our customers to obtain value from the use of our SIP in their IC designs. We recognize revenue associated with licenses of our SIP at the commencement of the contract upon delivery of the licensed SIP. With respect to our SIP developed in partnership with third parties, we generally act as a principal to the transaction because we control the promised SIP that we deliver to the customer. Consistent with our role as the principal, we recognize SIP revenue of our SIP developed in partnership with third parties on a gross basis. Any royalty fees based upon unit sales, revenue or flat fees which are paid to a third party are reported in cost of revenue upon delivery pursuant to the terms and conditions of our contractual obligations with the licensors.</w:t>
      </w:r>
    </w:p>
    <w:p>
      <w:pPr>
        <w:spacing w:after="0" w:line="35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Under certain SIP license agreements, we can also derive revenue through royalties from customers who agree to pay usage-based fees to embed our SIP into their own software offerings. Revenue under SIP royalty agreements is generally recognized during the period in which the customer sells its solutions which incorporate our SIP.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 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Typically, our software solutions are sold with post-contract support, or PCS, which includes unspecified technical enhancements and customer support. PCS is classified as maintenance revenue and is recognized ratably over the term of the contract, as we satisfy the PCS performance obligation over time.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years ended December 31, 2020 and 2021. Revenue is recognized upon the completion of the requested services and, as applicable, satisfaction of customer acceptance terms. Revenue from these services is classified as maintenance and service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and royalties related to recognized revenue. Gross profit represents revenue less cost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operating expenses consist of research and development, selling and marketing, and general and administrative expenses. Personnel costs are the most significant component of our operating expenses and consist of salaries, benefits, bonuses and commissions. Our operating expenses also include consulting costs, allocated costs of facilities, information technology, and depreciation. We expect our operating expenses to fluctuate as a percentage of revenue over time. Historically, we have not recognized share-based compensation, but we expect we will do so after the closing of our initial public offering. We expect that this expense will be a component of research and development, selling and marketing and general and administrative expense, and any such amounts could be significant. As of September 30, 2022, we had $15.3 million in deferred share-based compensation expense, of which $6.5 million deferred share-based compensation expense relates to awards that have met the Time-Based Requirement but not the Liquidity-Based Requirement, and the remaining $8.8 million deferred share-based compensation expense relates to awards that have not met either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research and development expense consists primarily of personnel costs comprised of salaries,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increase, although it may fluctuate as a percentage of revenue from period to period depending on the timing of these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 consists of personnel costs comprised of salaries,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General and administrative expense consists of personnel costs associated with our executive, legal, finance, human resources, information technology and other administrative functions, including salaries,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 associated with operating as a public company, including director and officer liability insurance and legal and compliance costs, although it may decrease as a percentage of revenue from period to period depending on the timing of these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February 24, 2022, Russia launched an invasion of Ukraine. As a result of local economic uncertainties and disruption created by this ongoing conflict, we recorded an impairment charge of $0.6 million during the nine months ended September 30, 2022 in order to reduce the carrying value of intangible assets associated with our Ukrainian subsidiary, which management determined would not be recoverable.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Gain on extinguishment of debt consists of forgiveness of a loan from the United States Treasury Department’s Small Business Administration under their Payroll Protection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Interest and other expense includes interest income earned on cash balances or other sources, interest expense associated with cost of borrowings, leases or interest-bearing agreements, foreign exchange gains and losses and changes in the fair value of contingent consideration associated with legacy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is our estimate of current tax expense incurred from the consolidated results of operations globally.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sets forth our results of operations for the years ended December 31, 2020 and 2021 and for the nine months ended September 30, 2021 and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gridSpan w:val="6"/>
          </w:tcPr>
          <w:p>
            <w:pPr>
              <w:jc w:val="right"/>
              <w:ind w:right="6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3"/>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40"/>
              <w:spacing w:after="0"/>
              <w:rPr>
                <w:sz w:val="20"/>
                <w:szCs w:val="20"/>
                <w:color w:val="auto"/>
              </w:rPr>
            </w:pPr>
            <w:r>
              <w:rPr>
                <w:rFonts w:ascii="Arial" w:cs="Arial" w:eastAsia="Arial" w:hAnsi="Arial"/>
                <w:sz w:val="18"/>
                <w:szCs w:val="18"/>
                <w:color w:val="auto"/>
              </w:rPr>
              <w:t>Software license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Maintenance and service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charges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29,953</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55"/>
        </w:trPr>
        <w:tc>
          <w:tcPr>
            <w:tcW w:w="3260" w:type="dxa"/>
            <w:vAlign w:val="bottom"/>
          </w:tcPr>
          <w:p>
            <w:pPr>
              <w:ind w:left="20"/>
              <w:spacing w:after="0" w:line="156" w:lineRule="exact"/>
              <w:rPr>
                <w:sz w:val="20"/>
                <w:szCs w:val="20"/>
                <w:color w:val="auto"/>
              </w:rPr>
            </w:pPr>
            <w:r>
              <w:rPr>
                <w:rFonts w:ascii="Arial" w:cs="Arial" w:eastAsia="Arial" w:hAnsi="Arial"/>
                <w:sz w:val="18"/>
                <w:szCs w:val="18"/>
                <w:color w:val="auto"/>
              </w:rPr>
              <w:t>Income (loss) before income tax</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04"/>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following table summarizes our results of operations as a percentage of total revenue for years ended December 31, 2020 and 2021 and for the nine months ended September 30,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740" w:type="dxa"/>
            <w:vAlign w:val="bottom"/>
            <w:gridSpan w:val="2"/>
          </w:tcPr>
          <w:p>
            <w:pPr>
              <w:ind w:left="536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5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08"/>
        </w:trPr>
        <w:tc>
          <w:tcPr>
            <w:tcW w:w="4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4"/>
          </w:tcPr>
          <w:p>
            <w:pPr>
              <w:ind w:left="520"/>
              <w:spacing w:after="0"/>
              <w:rPr>
                <w:sz w:val="20"/>
                <w:szCs w:val="20"/>
                <w:color w:val="auto"/>
              </w:rPr>
            </w:pPr>
            <w:r>
              <w:rPr>
                <w:rFonts w:ascii="Arial" w:cs="Arial" w:eastAsia="Arial" w:hAnsi="Arial"/>
                <w:sz w:val="14"/>
                <w:szCs w:val="14"/>
                <w:i w:val="1"/>
                <w:iCs w:val="1"/>
                <w:color w:val="auto"/>
              </w:rPr>
              <w:t>(as a percentage of total revenue)</w:t>
            </w:r>
          </w:p>
        </w:tc>
        <w:tc>
          <w:tcPr>
            <w:tcW w:w="1560" w:type="dxa"/>
            <w:vAlign w:val="bottom"/>
            <w:tcBorders>
              <w:top w:val="single" w:sz="8" w:color="auto"/>
            </w:tcBorders>
          </w:tcPr>
          <w:p>
            <w:pPr>
              <w:spacing w:after="0"/>
              <w:rPr>
                <w:sz w:val="18"/>
                <w:szCs w:val="18"/>
                <w:color w:val="auto"/>
              </w:rPr>
            </w:pPr>
          </w:p>
        </w:tc>
      </w:tr>
      <w:tr>
        <w:trPr>
          <w:trHeight w:val="22"/>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Software license revenue</w:t>
            </w:r>
          </w:p>
        </w:tc>
        <w:tc>
          <w:tcPr>
            <w:tcW w:w="560" w:type="dxa"/>
            <w:vAlign w:val="bottom"/>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69 %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Maintenance and service</w:t>
            </w: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5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560" w:type="dxa"/>
            <w:vAlign w:val="bottom"/>
          </w:tcPr>
          <w:p>
            <w:pPr>
              <w:jc w:val="right"/>
              <w:spacing w:after="0"/>
              <w:rPr>
                <w:sz w:val="20"/>
                <w:szCs w:val="20"/>
                <w:color w:val="auto"/>
              </w:rPr>
            </w:pPr>
            <w:r>
              <w:rPr>
                <w:rFonts w:ascii="Arial" w:cs="Arial" w:eastAsia="Arial" w:hAnsi="Arial"/>
                <w:sz w:val="17"/>
                <w:szCs w:val="17"/>
                <w:color w:val="auto"/>
              </w:rPr>
              <w:t>78 %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79 %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79 %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82 %</w:t>
            </w:r>
          </w:p>
        </w:tc>
      </w:tr>
      <w:tr>
        <w:trPr>
          <w:trHeight w:val="21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560" w:type="dxa"/>
            <w:vAlign w:val="bottom"/>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27 %</w:t>
            </w:r>
          </w:p>
        </w:tc>
      </w:tr>
      <w:tr>
        <w:trPr>
          <w:trHeight w:val="263"/>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56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32 %</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charges</w:t>
            </w: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87 %</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82 %</w:t>
            </w:r>
          </w:p>
        </w:tc>
      </w:tr>
      <w:tr>
        <w:trPr>
          <w:trHeight w:val="25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Gain on debt extinguishment</w:t>
            </w: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40" w:type="dxa"/>
            <w:vAlign w:val="bottom"/>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Income (loss) before income tax provision</w:t>
            </w:r>
          </w:p>
        </w:tc>
        <w:tc>
          <w:tcPr>
            <w:tcW w:w="560" w:type="dxa"/>
            <w:vAlign w:val="bottom"/>
          </w:tcPr>
          <w:p>
            <w:pPr>
              <w:jc w:val="right"/>
              <w:spacing w:after="0"/>
              <w:rPr>
                <w:sz w:val="20"/>
                <w:szCs w:val="20"/>
                <w:color w:val="auto"/>
              </w:rPr>
            </w:pPr>
            <w:r>
              <w:rPr>
                <w:rFonts w:ascii="Arial" w:cs="Arial" w:eastAsia="Arial" w:hAnsi="Arial"/>
                <w:sz w:val="17"/>
                <w:szCs w:val="17"/>
                <w:color w:val="auto"/>
              </w:rPr>
              <w:t>7 %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7"/>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9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56"/>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Net income (loss)</w:t>
            </w:r>
          </w:p>
        </w:tc>
        <w:tc>
          <w:tcPr>
            <w:tcW w:w="560" w:type="dxa"/>
            <w:vAlign w:val="bottom"/>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
        </w:trPr>
        <w:tc>
          <w:tcPr>
            <w:tcW w:w="4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47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bl>
    <w:p>
      <w:pPr>
        <w:spacing w:after="0" w:line="238" w:lineRule="exact"/>
        <w:rPr>
          <w:sz w:val="20"/>
          <w:szCs w:val="20"/>
          <w:color w:val="auto"/>
        </w:rPr>
      </w:pPr>
    </w:p>
    <w:p>
      <w:pPr>
        <w:ind w:right="5360"/>
        <w:spacing w:after="0" w:line="374" w:lineRule="auto"/>
        <w:rPr>
          <w:sz w:val="20"/>
          <w:szCs w:val="20"/>
          <w:color w:val="auto"/>
        </w:rPr>
      </w:pPr>
      <w:r>
        <w:rPr>
          <w:rFonts w:ascii="Arial" w:cs="Arial" w:eastAsia="Arial" w:hAnsi="Arial"/>
          <w:sz w:val="18"/>
          <w:szCs w:val="18"/>
          <w:b w:val="1"/>
          <w:bCs w:val="1"/>
          <w:color w:val="auto"/>
        </w:rPr>
        <w:t xml:space="preserve">Comparison of the Nine Months Ended September 30, 2021 and 2022 </w:t>
      </w:r>
      <w:r>
        <w:rPr>
          <w:rFonts w:ascii="Arial" w:cs="Arial" w:eastAsia="Arial" w:hAnsi="Arial"/>
          <w:sz w:val="18"/>
          <w:szCs w:val="18"/>
          <w:b w:val="1"/>
          <w:bCs w:val="1"/>
          <w:i w:val="1"/>
          <w:iCs w:val="1"/>
          <w:color w:val="auto"/>
        </w:rPr>
        <w:t>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4"/>
          </w:tcPr>
          <w:p>
            <w:pPr>
              <w:jc w:val="right"/>
              <w:ind w:right="27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21,563</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27,946</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8,727</w:t>
            </w:r>
          </w:p>
        </w:tc>
      </w:tr>
      <w:tr>
        <w:trPr>
          <w:trHeight w:val="225"/>
        </w:trPr>
        <w:tc>
          <w:tcPr>
            <w:tcW w:w="814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31,104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36,673</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Total revenue increased $5.6 million, or 18%, from $31.1 million for the nine months ended September 30, 2021 to $36.7 million for the nine months ended September 30, 2022. The growth in total revenue was driven by an increase in revenue from customer renewals of $3.3 million and $2.3 million of revenue from new customers. Software license revenue increased $6.4 million, or 30%, from $21.6 million for the nine months ended September 30, 2021 to $27.9 million for the nine months ended September 30, 2022. Maintenance and service revenue declined $0.8 million, or 9%, from $9.5 million for the nine months ended September 30, 2021 to $8.7 million for the nine months ended September 30, 2022. The decline in maintenance and service revenue was primarily driven by foreign currency effects as a result of a stronger U.S. dollar during the nine months ended September 30, 2022 as compared to the same period during the previous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Cost of Revenue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Gross profit increased $5.4 million, or 22%, from $24.5 million for the nine months ended September 30, 2021 to $29.9 million for the nine months ended September 30, 2022. Gross profit margin increased from 79% for the nine months ended September 30, 2021 to 82% for the nine months ended September 30, 2022, driven by an increase in the contribution of software license revenue to total revenue.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4"/>
          </w:tcPr>
          <w:p>
            <w:pPr>
              <w:jc w:val="right"/>
              <w:ind w:right="277"/>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193"/>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10,062</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9,851</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7,935</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11,607</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Impairment charges</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r>
      <w:tr>
        <w:trPr>
          <w:trHeight w:val="223"/>
        </w:trPr>
        <w:tc>
          <w:tcPr>
            <w:tcW w:w="8140" w:type="dxa"/>
            <w:vAlign w:val="bottom"/>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27,118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29,953</w:t>
            </w:r>
          </w:p>
        </w:tc>
      </w:tr>
      <w:tr>
        <w:trPr>
          <w:trHeight w:val="74"/>
        </w:trPr>
        <w:tc>
          <w:tcPr>
            <w:tcW w:w="8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was $10.1 million and $9.9 million for the nine months ended September 30, 2021 and 2022, respectively.</w:t>
      </w:r>
    </w:p>
    <w:p>
      <w:pPr>
        <w:spacing w:after="0" w:line="10" w:lineRule="exact"/>
        <w:rPr>
          <w:sz w:val="20"/>
          <w:szCs w:val="20"/>
          <w:color w:val="auto"/>
        </w:rPr>
      </w:pPr>
    </w:p>
    <w:p>
      <w:pPr>
        <w:ind w:right="380"/>
        <w:spacing w:after="0" w:line="235" w:lineRule="auto"/>
        <w:rPr>
          <w:sz w:val="20"/>
          <w:szCs w:val="20"/>
          <w:color w:val="auto"/>
        </w:rPr>
      </w:pPr>
      <w:r>
        <w:rPr>
          <w:rFonts w:ascii="Arial" w:cs="Arial" w:eastAsia="Arial" w:hAnsi="Arial"/>
          <w:sz w:val="17"/>
          <w:szCs w:val="17"/>
          <w:color w:val="auto"/>
        </w:rPr>
        <w:t xml:space="preserve">The decrease of $0.2 million, or 2%, reflects a decline in amortization expense driven by the impairment of intangible assets associated with our Ukrainian subsidiary during the nine months ended September 30, 2022. See </w:t>
      </w:r>
      <w:r>
        <w:rPr>
          <w:rFonts w:ascii="Arial" w:cs="Arial" w:eastAsia="Arial" w:hAnsi="Arial"/>
          <w:sz w:val="17"/>
          <w:szCs w:val="17"/>
          <w:i w:val="1"/>
          <w:iCs w:val="1"/>
          <w:color w:val="auto"/>
        </w:rPr>
        <w:t>Impairment Charges</w:t>
      </w:r>
      <w:r>
        <w:rPr>
          <w:rFonts w:ascii="Arial" w:cs="Arial" w:eastAsia="Arial" w:hAnsi="Arial"/>
          <w:sz w:val="17"/>
          <w:szCs w:val="17"/>
          <w:color w:val="auto"/>
        </w:rPr>
        <w:t xml:space="preserve"> below for further discussion.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expenses was $8.0 million and $7.9 million for the nine months ended September 30, 2021 and 2022, respectively. The decrease of $0.1 million, or 1%, was primarily due to a decline in the U.S. dollar value of expenses associated with our international subsidiaries as a result of prevailing exchange rates during the nine months ended September 30,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General and administrative expenses was $9.1 million and $11.6 million for the nine months ended September 30, 2021 and 2022, respectively. The increase of $2.5 million, or 28%, reflects an increase in legal expenses of $1.1 million primarily related to ongoing litigation, higher compensation of $0.4 million and benefits of $0.1 million primarily related to increased headcount and professional services of $0.9 million primarily related to audit, tax and consulting services associated with our activities to prepare for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On February 24, 2022, Russia launched an invasion of Ukraine. As a result of local economic uncertainties and disruption created by the initiation of war, we recorded an impairment charge of $0.6 million to write down the carrying value of intangible assets associated with our Ukrainian subsidiary which management determined would not be recoverable. See also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Acquisitions, and </w:t>
      </w:r>
      <w:r>
        <w:rPr>
          <w:rFonts w:ascii="Arial" w:cs="Arial" w:eastAsia="Arial" w:hAnsi="Arial"/>
          <w:sz w:val="17"/>
          <w:szCs w:val="17"/>
          <w:u w:val="single" w:color="auto"/>
          <w:color w:val="0000FF"/>
        </w:rPr>
        <w:t>Note 6</w:t>
      </w:r>
      <w:r>
        <w:rPr>
          <w:rFonts w:ascii="Arial" w:cs="Arial" w:eastAsia="Arial" w:hAnsi="Arial"/>
          <w:sz w:val="17"/>
          <w:szCs w:val="17"/>
          <w:color w:val="auto"/>
        </w:rPr>
        <w:t>, Goodwill and Intangible Assets, in our unaudited condensed consolidated financial statements for the nine months ended September 30, 2022 for further discussion.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Interest and other expense was $0.1 million and $0.2 million for the nine months ended September 30, 2021 and 2022, respectively. Interest and other expense, net includes interest income earned on cash balances or other sources, interest expense associated with cost of borrowings, leases or interest-bearing agreements, foreign exchange gains and losses and changes in the fair value of contingent consideration associated with legacy acquisitions. The decrease in interest and other expense, net, was primary the result of foreign exchange.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8"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5" w:lineRule="exact"/>
        <w:rPr>
          <w:sz w:val="20"/>
          <w:szCs w:val="20"/>
          <w:color w:val="auto"/>
        </w:rPr>
      </w:pPr>
    </w:p>
    <w:p>
      <w:pPr>
        <w:ind w:left="8740"/>
        <w:spacing w:after="0"/>
        <w:tabs>
          <w:tab w:leader="none" w:pos="10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7" w:lineRule="exact"/>
        <w:rPr>
          <w:sz w:val="20"/>
          <w:szCs w:val="20"/>
          <w:color w:val="auto"/>
        </w:rPr>
      </w:pPr>
    </w:p>
    <w:p>
      <w:pPr>
        <w:ind w:left="9240"/>
        <w:spacing w:after="0"/>
        <w:rPr>
          <w:sz w:val="20"/>
          <w:szCs w:val="20"/>
          <w:color w:val="auto"/>
        </w:rPr>
      </w:pPr>
      <w:r>
        <w:rPr>
          <w:rFonts w:ascii="Arial" w:cs="Arial" w:eastAsia="Arial" w:hAnsi="Arial"/>
          <w:sz w:val="14"/>
          <w:szCs w:val="14"/>
          <w:i w:val="1"/>
          <w:iCs w:val="1"/>
          <w:color w:val="auto"/>
        </w:rPr>
        <w:t>(in thousands)</w:t>
      </w:r>
    </w:p>
    <w:p>
      <w:pPr>
        <w:spacing w:after="0" w:line="27" w:lineRule="exact"/>
        <w:rPr>
          <w:sz w:val="20"/>
          <w:szCs w:val="20"/>
          <w:color w:val="auto"/>
        </w:rPr>
      </w:pPr>
    </w:p>
    <w:p>
      <w:pPr>
        <w:ind w:left="20"/>
        <w:spacing w:after="0"/>
        <w:tabs>
          <w:tab w:leader="none" w:pos="8140" w:val="left"/>
          <w:tab w:leader="none" w:pos="9260" w:val="left"/>
          <w:tab w:leader="none" w:pos="9740" w:val="left"/>
          <w:tab w:leader="none" w:pos="10860" w:val="left"/>
        </w:tabs>
        <w:rPr>
          <w:sz w:val="20"/>
          <w:szCs w:val="20"/>
          <w:color w:val="auto"/>
        </w:rPr>
      </w:pPr>
      <w:r>
        <w:rPr>
          <w:rFonts w:ascii="Arial" w:cs="Arial" w:eastAsia="Arial" w:hAnsi="Arial"/>
          <w:sz w:val="17"/>
          <w:szCs w:val="17"/>
          <w:b w:val="1"/>
          <w:bCs w:val="1"/>
          <w:color w:val="auto"/>
        </w:rPr>
        <w:t>Income tax provision</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301</w:t>
        <w:tab/>
        <w:t>$</w:t>
      </w:r>
      <w:r>
        <w:rPr>
          <w:sz w:val="20"/>
          <w:szCs w:val="20"/>
          <w:color w:val="auto"/>
        </w:rPr>
        <w:tab/>
      </w:r>
      <w:r>
        <w:rPr>
          <w:rFonts w:ascii="Arial" w:cs="Arial" w:eastAsia="Arial" w:hAnsi="Arial"/>
          <w:sz w:val="16"/>
          <w:szCs w:val="16"/>
          <w:b w:val="1"/>
          <w:bCs w:val="1"/>
          <w:color w:val="auto"/>
        </w:rPr>
        <w:t>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Income tax provision was $0.3 million and $0.6 million for the nine months ended September 30, 2021 and 2022, respectively. See Note 10 of our unaudited condensed consolidated financial statements for the nine months ended September 30, 2021 and 2020.</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center"/>
              <w:ind w:right="25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581"/>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27,826</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29,687</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12,276</w:t>
            </w:r>
          </w:p>
        </w:tc>
      </w:tr>
      <w:tr>
        <w:trPr>
          <w:trHeight w:val="225"/>
        </w:trPr>
        <w:tc>
          <w:tcPr>
            <w:tcW w:w="814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40,280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41,963</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Total revenue was $40.3 million for the year ended December 31, 2020 and $42.0 million for the year ended December 31, 2021, an increase of $1.7 million, or 4%. The growth in total revenue was primarily driven by an increase in revenue from customer renewals of $1.9 million, partially offset by a $0.2 million decline in revenue from new customers. Software license revenue was $27.8 million for the year ended December 31, 2020 and $29.7 million for the year ended December 31, 2021, an increase of $1.9 million, or 7%. Maintenance and service revenue was $12.5 million for the year ended December 31, 2020 and $12.3 million for the year ended December 31, 2021, a decrease of $0.2 million, or 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Cost of Revenue</w:t>
      </w:r>
    </w:p>
    <w:p>
      <w:pPr>
        <w:spacing w:after="0" w:line="3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Gross profit was $31.6 million for the year ended December 31, 2020 and $33.3 million for the year ended December 31, 2021, an increase of $1.7 million, or 5%. Gross profit margin was 78% for the year ended December 31, 2020 and 79%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11,159</w:t>
            </w:r>
          </w:p>
        </w:tc>
        <w:tc>
          <w:tcPr>
            <w:tcW w:w="10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13,539</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10,331</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12,976</w:t>
            </w: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operating expenses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36,846</w:t>
            </w:r>
          </w:p>
        </w:tc>
      </w:tr>
      <w:tr>
        <w:trPr>
          <w:trHeight w:val="75"/>
        </w:trPr>
        <w:tc>
          <w:tcPr>
            <w:tcW w:w="8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Research and development expenses was $11.2 million for the year ended December 31, 2020 and $13.5 million for the year ended December 31, 2021. The increase of $2.3 million, or 21%, was primarily the result of increased headcount, which resulted in increases in compensation of $2.3 million and benefits of $0.1 million, as well as a $0.1 million increase in depreciation and amortization, partially offset by $0.2 million of research grant credits.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Selling and marketing expenses was $9.2 million for the year ended December 31, 2020 and $10.3 million for the year ended December 31, 2021. The increase of $1.1 million, or 12%, was due to wages of $0.5 million and benefits of $0.1 million, and an increase in sales commissions of $0.5 million, primarily due to higher sales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General and administrative expenses was $7.6 million for the year ended December 31, 2020 and $13.0 million for the year ended December 31, 2021. The increase of $5.4 million, or 71%, was primarily driven by an increase in legal expenses of $1.5 million, primarily related to ongoing litigation, higher compensation of $1.3 million and benefits of $0.1 million, primarily related to increased headcount, professional services of $1.8 million, primarily related to audit, tax and consulting services associated with this offering, increase of rent and building services of $0.2 million and an increase of $0.2 million of equipment rental repair and maintenance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our PPP loan was forgiven, and we recognized the gain in the amount of $2.3 million.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and other expense was $0.7 million for the year ended December 31, 2020 and $0.3 million for the year ended December 31, 2021. Interest and other expense, net includes interest income earned on cash balances or other sources, interest expense associated with cost of borrowings, leases or interest-bearing agreements, foreign exchange gains and losses and changes in the fair value of contingent consideration associated with legacy acquisitions. The decrease in interest and other expense, net, was primary the result of foreign exchange and interest fluctuations.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5" w:lineRule="exact"/>
        <w:rPr>
          <w:sz w:val="20"/>
          <w:szCs w:val="20"/>
          <w:color w:val="auto"/>
        </w:rPr>
      </w:pPr>
    </w:p>
    <w:p>
      <w:pPr>
        <w:ind w:left="8740"/>
        <w:spacing w:after="0"/>
        <w:tabs>
          <w:tab w:leader="none" w:pos="10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23495</wp:posOffset>
            </wp:positionV>
            <wp:extent cx="1962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7" w:lineRule="exact"/>
        <w:rPr>
          <w:sz w:val="20"/>
          <w:szCs w:val="20"/>
          <w:color w:val="auto"/>
        </w:rPr>
      </w:pPr>
    </w:p>
    <w:p>
      <w:pPr>
        <w:ind w:left="9240"/>
        <w:spacing w:after="0"/>
        <w:rPr>
          <w:sz w:val="20"/>
          <w:szCs w:val="20"/>
          <w:color w:val="auto"/>
        </w:rPr>
      </w:pPr>
      <w:r>
        <w:rPr>
          <w:rFonts w:ascii="Arial" w:cs="Arial" w:eastAsia="Arial" w:hAnsi="Arial"/>
          <w:sz w:val="14"/>
          <w:szCs w:val="14"/>
          <w:i w:val="1"/>
          <w:iCs w:val="1"/>
          <w:color w:val="auto"/>
        </w:rPr>
        <w:t>(in thousands)</w:t>
      </w:r>
    </w:p>
    <w:p>
      <w:pPr>
        <w:spacing w:after="0" w:line="27" w:lineRule="exact"/>
        <w:rPr>
          <w:sz w:val="20"/>
          <w:szCs w:val="20"/>
          <w:color w:val="auto"/>
        </w:rPr>
      </w:pPr>
    </w:p>
    <w:p>
      <w:pPr>
        <w:ind w:left="20"/>
        <w:spacing w:after="0"/>
        <w:tabs>
          <w:tab w:leader="none" w:pos="8140" w:val="left"/>
          <w:tab w:leader="none" w:pos="9260" w:val="left"/>
          <w:tab w:leader="none" w:pos="9740" w:val="left"/>
          <w:tab w:leader="none" w:pos="10860" w:val="left"/>
        </w:tabs>
        <w:rPr>
          <w:sz w:val="20"/>
          <w:szCs w:val="20"/>
          <w:color w:val="auto"/>
        </w:rPr>
      </w:pPr>
      <w:r>
        <w:rPr>
          <w:rFonts w:ascii="Arial" w:cs="Arial" w:eastAsia="Arial" w:hAnsi="Arial"/>
          <w:sz w:val="17"/>
          <w:szCs w:val="17"/>
          <w:b w:val="1"/>
          <w:bCs w:val="1"/>
          <w:color w:val="auto"/>
        </w:rPr>
        <w:t>Income tax provision</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306</w:t>
        <w:tab/>
        <w:t>$</w:t>
      </w:r>
      <w:r>
        <w:rPr>
          <w:sz w:val="20"/>
          <w:szCs w:val="20"/>
          <w:color w:val="auto"/>
        </w:rPr>
        <w:tab/>
      </w:r>
      <w:r>
        <w:rPr>
          <w:rFonts w:ascii="Arial" w:cs="Arial" w:eastAsia="Arial" w:hAnsi="Arial"/>
          <w:sz w:val="16"/>
          <w:szCs w:val="16"/>
          <w:b w:val="1"/>
          <w:bCs w:val="1"/>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Income tax provision was $0.3 million for the year ended December 31, 2020 and $0.3 million for the year ended December 31, 2021. See Note 12 of our audited consolidated financial statements for the years ended December 31, 2020 and 2021 included elsewhere in this prospectus.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Indicators and Non-GAAP Financial Measures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use the following 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Bookings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define a booking as a signed contract and related purchase commitment from a customer, based on the value set forth in a purchase order. We believe bookings are a useful metric to measure the success of customer sales and provide an indication of trends in our operating results that are not necessarily reflected in our revenue, because our revenue recognition is based on the later satisfaction of our customer obligations, and not of the sales to customers at the time of sale. For the year ended December 31, 2020 and 2021, we recorded $44.0 million and $47.3 million in bookings, respectively. For the nine months ended September 30, 2021 and 2022, we recorded $30.6 million and $37.3 million in bookings,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define non-GAAP net income (loss) as our net income (loss) adjusted to exclude IPO readiness, non-recurring legal charges associated with legacy acquisitions, impairment charges, executive severance, amortization of acquired intangible assets, change in fair value of contingent consideration, foreign exchange (gain) loss and gain on extinguishment of debt. We monitor non-GAAP net income (loss) as a non-GAAP financial measure to supplement the financial information we present in accordance with GAAP to provide investors with additional information regarding our financial results. For further explanation of the uses and limitations of this measure and a reconciliation of our non-GAAP net income (loss) to the most directly comparable GAAP measure, income (loss), please see “</w:t>
      </w:r>
      <w:r>
        <w:rPr>
          <w:rFonts w:ascii="Arial" w:cs="Arial" w:eastAsia="Arial" w:hAnsi="Arial"/>
          <w:sz w:val="17"/>
          <w:szCs w:val="17"/>
          <w:i w:val="1"/>
          <w:iCs w:val="1"/>
          <w:color w:val="auto"/>
        </w:rPr>
        <w:t>—</w:t>
      </w:r>
      <w:r>
        <w:rPr>
          <w:rFonts w:ascii="Arial" w:cs="Arial" w:eastAsia="Arial" w:hAnsi="Arial"/>
          <w:sz w:val="17"/>
          <w:szCs w:val="17"/>
          <w:color w:val="auto"/>
        </w:rPr>
        <w:t>Non-GAAP Financial Measures.”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report our financial results in accordance with GAAP. However, management believes that non-GAAP net income (loss) provides investors with additional useful information in evaluating our performance. This financial measure is not required by or presented in accordance with GAAP. We believe, however, that this non-GAAP financial measure,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non-GAAP net income (loss) provides useful supplemental information to investors and others in understanding and evaluating our results of operations, as well as provide a useful measure for period-to-period comparisons of our business performance.</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Certain items are excluded from our non-GAAP net income (loss) because these items are non-cash in nature, or are not indicative of our core operating performance, and render comparisons with prior periods and competitors less meaningful. We adjust net income (loss) for these items to arrive at non-GAAP net income (loss) because these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amounts can vary substantially from company to company within our industry depending upon accounting methods and book values of assets, capital structure and the method by which the assets were acquired.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(loss) to non-GAAP net income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0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93"/>
        </w:trPr>
        <w:tc>
          <w:tcPr>
            <w:tcW w:w="5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6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2,550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(901)</w:t>
            </w:r>
          </w:p>
        </w:tc>
      </w:tr>
      <w:tr>
        <w:trPr>
          <w:trHeight w:val="229"/>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Add:</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2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Acquisition-related litigation costs</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57"/>
              <w:spacing w:after="0"/>
              <w:rPr>
                <w:sz w:val="20"/>
                <w:szCs w:val="20"/>
                <w:color w:val="auto"/>
              </w:rPr>
            </w:pPr>
            <w:r>
              <w:rPr>
                <w:rFonts w:ascii="Arial" w:cs="Arial" w:eastAsia="Arial" w:hAnsi="Arial"/>
                <w:sz w:val="17"/>
                <w:szCs w:val="17"/>
                <w:color w:val="auto"/>
                <w:w w:val="98"/>
              </w:rPr>
              <w:t>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r>
      <w:tr>
        <w:trPr>
          <w:trHeight w:val="229"/>
        </w:trPr>
        <w:tc>
          <w:tcPr>
            <w:tcW w:w="5020" w:type="dxa"/>
            <w:vAlign w:val="bottom"/>
          </w:tcPr>
          <w:p>
            <w:pPr>
              <w:ind w:left="240"/>
              <w:spacing w:after="0" w:line="229" w:lineRule="exact"/>
              <w:rPr>
                <w:sz w:val="20"/>
                <w:szCs w:val="20"/>
                <w:color w:val="auto"/>
              </w:rPr>
            </w:pPr>
            <w:r>
              <w:rPr>
                <w:rFonts w:ascii="Arial" w:cs="Arial" w:eastAsia="Arial" w:hAnsi="Arial"/>
                <w:sz w:val="17"/>
                <w:szCs w:val="17"/>
                <w:color w:val="auto"/>
              </w:rPr>
              <w:t>Executive severance</w:t>
            </w:r>
            <w:r>
              <w:rPr>
                <w:rFonts w:ascii="Arial" w:cs="Arial" w:eastAsia="Arial" w:hAnsi="Arial"/>
                <w:sz w:val="22"/>
                <w:szCs w:val="22"/>
                <w:color w:val="auto"/>
                <w:vertAlign w:val="superscript"/>
              </w:rPr>
              <w:t>(2)</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02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Amortization of acquired intangible assets</w:t>
            </w:r>
            <w:r>
              <w:rPr>
                <w:rFonts w:ascii="Arial" w:cs="Arial" w:eastAsia="Arial" w:hAnsi="Arial"/>
                <w:sz w:val="22"/>
                <w:szCs w:val="22"/>
                <w:color w:val="auto"/>
                <w:vertAlign w:val="superscript"/>
              </w:rPr>
              <w:t>(3)</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57"/>
              <w:spacing w:after="0"/>
              <w:rPr>
                <w:sz w:val="20"/>
                <w:szCs w:val="20"/>
                <w:color w:val="auto"/>
              </w:rPr>
            </w:pPr>
            <w:r>
              <w:rPr>
                <w:rFonts w:ascii="Arial" w:cs="Arial" w:eastAsia="Arial" w:hAnsi="Arial"/>
                <w:sz w:val="17"/>
                <w:szCs w:val="17"/>
                <w:color w:val="auto"/>
                <w:w w:val="98"/>
              </w:rPr>
              <w:t>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30"/>
        </w:trPr>
        <w:tc>
          <w:tcPr>
            <w:tcW w:w="5020" w:type="dxa"/>
            <w:vAlign w:val="bottom"/>
          </w:tcPr>
          <w:p>
            <w:pPr>
              <w:ind w:left="240"/>
              <w:spacing w:after="0" w:line="229" w:lineRule="exact"/>
              <w:rPr>
                <w:sz w:val="20"/>
                <w:szCs w:val="20"/>
                <w:color w:val="auto"/>
              </w:rPr>
            </w:pPr>
            <w:r>
              <w:rPr>
                <w:rFonts w:ascii="Arial" w:cs="Arial" w:eastAsia="Arial" w:hAnsi="Arial"/>
                <w:sz w:val="17"/>
                <w:szCs w:val="17"/>
                <w:color w:val="auto"/>
              </w:rPr>
              <w:t>Change in fair value of contingent consideration</w:t>
            </w:r>
            <w:r>
              <w:rPr>
                <w:rFonts w:ascii="Arial" w:cs="Arial" w:eastAsia="Arial" w:hAnsi="Arial"/>
                <w:sz w:val="22"/>
                <w:szCs w:val="22"/>
                <w:color w:val="auto"/>
                <w:vertAlign w:val="superscript"/>
              </w:rPr>
              <w:t>(4)</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left="757"/>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9"/>
        </w:trPr>
        <w:tc>
          <w:tcPr>
            <w:tcW w:w="5020" w:type="dxa"/>
            <w:vAlign w:val="bottom"/>
            <w:shd w:val="clear" w:color="auto" w:fill="CCEEFF"/>
          </w:tcPr>
          <w:p>
            <w:pPr>
              <w:ind w:left="240"/>
              <w:spacing w:after="0" w:line="229" w:lineRule="exact"/>
              <w:rPr>
                <w:sz w:val="20"/>
                <w:szCs w:val="20"/>
                <w:color w:val="auto"/>
              </w:rPr>
            </w:pPr>
            <w:r>
              <w:rPr>
                <w:rFonts w:ascii="Arial" w:cs="Arial" w:eastAsia="Arial" w:hAnsi="Arial"/>
                <w:sz w:val="17"/>
                <w:szCs w:val="17"/>
                <w:color w:val="auto"/>
              </w:rPr>
              <w:t>Other non-recurring expenses</w:t>
            </w:r>
            <w:r>
              <w:rPr>
                <w:rFonts w:ascii="Arial" w:cs="Arial" w:eastAsia="Arial" w:hAnsi="Arial"/>
                <w:sz w:val="22"/>
                <w:szCs w:val="22"/>
                <w:color w:val="auto"/>
                <w:vertAlign w:val="superscript"/>
              </w:rPr>
              <w:t>(5)</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57"/>
              <w:spacing w:after="0"/>
              <w:rPr>
                <w:sz w:val="20"/>
                <w:szCs w:val="20"/>
                <w:color w:val="auto"/>
              </w:rPr>
            </w:pPr>
            <w:r>
              <w:rPr>
                <w:rFonts w:ascii="Arial" w:cs="Arial" w:eastAsia="Arial" w:hAnsi="Arial"/>
                <w:sz w:val="17"/>
                <w:szCs w:val="17"/>
                <w:color w:val="auto"/>
                <w:w w:val="98"/>
              </w:rPr>
              <w:t>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2178</w:t>
            </w: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Foreign exchange (gain) loss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left="857"/>
              <w:spacing w:after="0"/>
              <w:rPr>
                <w:sz w:val="20"/>
                <w:szCs w:val="20"/>
                <w:color w:val="auto"/>
              </w:rPr>
            </w:pPr>
            <w:r>
              <w:rPr>
                <w:rFonts w:ascii="Arial" w:cs="Arial" w:eastAsia="Arial" w:hAnsi="Arial"/>
                <w:sz w:val="17"/>
                <w:szCs w:val="17"/>
                <w:color w:val="auto"/>
                <w:w w:val="98"/>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211</w:t>
            </w:r>
          </w:p>
        </w:tc>
      </w:tr>
      <w:tr>
        <w:trPr>
          <w:trHeight w:val="232"/>
        </w:trPr>
        <w:tc>
          <w:tcPr>
            <w:tcW w:w="5020" w:type="dxa"/>
            <w:vAlign w:val="bottom"/>
            <w:shd w:val="clear" w:color="auto" w:fill="CCEEFF"/>
          </w:tcPr>
          <w:p>
            <w:pPr>
              <w:ind w:left="240"/>
              <w:spacing w:after="0" w:line="232" w:lineRule="exact"/>
              <w:rPr>
                <w:sz w:val="20"/>
                <w:szCs w:val="20"/>
                <w:color w:val="auto"/>
              </w:rPr>
            </w:pPr>
            <w:r>
              <w:rPr>
                <w:rFonts w:ascii="Arial" w:cs="Arial" w:eastAsia="Arial" w:hAnsi="Arial"/>
                <w:sz w:val="17"/>
                <w:szCs w:val="17"/>
                <w:color w:val="auto"/>
              </w:rPr>
              <w:t>Gain on debt extinguishment</w:t>
            </w:r>
            <w:r>
              <w:rPr>
                <w:rFonts w:ascii="Arial" w:cs="Arial" w:eastAsia="Arial" w:hAnsi="Arial"/>
                <w:sz w:val="22"/>
                <w:szCs w:val="22"/>
                <w:color w:val="auto"/>
                <w:vertAlign w:val="superscript"/>
              </w:rPr>
              <w:t>(6)</w:t>
            </w: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5020" w:type="dxa"/>
            <w:vAlign w:val="bottom"/>
          </w:tcPr>
          <w:p>
            <w:pPr>
              <w:ind w:left="240"/>
              <w:spacing w:after="0" w:line="229" w:lineRule="exact"/>
              <w:rPr>
                <w:sz w:val="20"/>
                <w:szCs w:val="20"/>
                <w:color w:val="auto"/>
              </w:rPr>
            </w:pPr>
            <w:r>
              <w:rPr>
                <w:rFonts w:ascii="Arial" w:cs="Arial" w:eastAsia="Arial" w:hAnsi="Arial"/>
                <w:sz w:val="17"/>
                <w:szCs w:val="17"/>
                <w:color w:val="auto"/>
              </w:rPr>
              <w:t>Impairment charges</w:t>
            </w:r>
            <w:r>
              <w:rPr>
                <w:rFonts w:ascii="Arial" w:cs="Arial" w:eastAsia="Arial" w:hAnsi="Arial"/>
                <w:sz w:val="22"/>
                <w:szCs w:val="22"/>
                <w:color w:val="auto"/>
                <w:vertAlign w:val="superscript"/>
              </w:rPr>
              <w:t>(7)</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center"/>
              <w:ind w:left="757"/>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Non-GAAP net income (loss)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3,333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50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7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litigation and related expenses incurred in connection with our acquisitions.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executive severance which occurred in connection with management changes.</w:t>
      </w:r>
    </w:p>
    <w:p>
      <w:pPr>
        <w:spacing w:after="0" w:line="27"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amortization of intangible assets attributable to our acquisitions.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change in fair value of contingent consideration recorded in connection with our acquisitions.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one-time third-party professional services fees and costs incurred as part of, and in preparation for, this offering.</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one-time loan forgiveness of the PPP Loan in June 2021.</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impairment charges related to certain intangible assets assumed through our acquisition of PolytEDA.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Since inception, we have financed operations primarily through proceeds received from payments from our customers and borrowings from Ms. Ngai-Pesic. Our primary sources of liquidity are cash including cash generated from operations. As of September 30, 2022, we had $4.0 million in cash, of which $2.4 million was held by our foreign subsidiaries.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13, 2022, we entered into a business financing agreement with Ms. Ngai-Pesic for a line of credit of up to $4.0 million with a maturity of June 13, 2023, or the 2022 Credit Line. We can draw funds from the 2022 Credit Line at any time and can repay such amounts at any time without penalty. The interest rate on the 2022 Credit Line is the prime rate of prime plus 1% per annum. The 2022 Credit Line has no restrictions or covenants. We have drawn $2.0 million on the 2022 Credit Line as of September 23, 2022. The total outstanding balance of the 2022 Credit Line is due in full upon the earlier of (i) June 13, 2023 and (ii) 10 days following the date that we secure financing in an amount equal to or greater than the 2022 Credit Line.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On March 30, 2022, we received the March 2022 Loan from Ms. Ngai-Pesic at an interest rate of 3.25% per annum, pursuant to a promissory note.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total $0.5 million outstanding balance of the March 2022 Loan is due in full on March 30, 2023.</w:t>
      </w:r>
    </w:p>
    <w:p>
      <w:pPr>
        <w:spacing w:after="0" w:line="167"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December 2021, we entered into a business financing agreement with Ms. Ngai-Pesic for a short-term promissory note in the principal amount of $0.5 million, or the December 2021 Loan, which was paid in full in July 2022.</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December 31, 2020, we had a note payable to Kipee International, Inc., or Kipee, an entity owned by Ms. Ngai-Pesic, with a balance due of $0.5 million and notes receivable from New Horizons (Cambridge) LTD, or NHC, and New Horizon France, or NHF, real estate affiliates also owned by Ms. Ngai-Pesic, of $0.9 million and $1.5 million, respectively. Our Director of Global Sales Operations also serves as director of NHC. These notes were settled by Ms. Ngai-Pesic in September 2021, for a payment to us of $0.2 million, representing the net balance remaining after the settlement of these notes.</w:t>
      </w:r>
    </w:p>
    <w:p>
      <w:pPr>
        <w:spacing w:after="0" w:line="13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 May 2020, we received an unsecured loan in the amount of $2.3 million under the PPP Loan. The PPP Loan was payable two years from the date of initial disbursement and bore an interest rate of 1.00% per annum. On June 29,</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2021, the PPP Loan was forgiven. The Paycheck Protection Program was established under the CARES Act, and is administered by the SBA. We used proceeds of the PPP Loan to fund qualifying payroll and other expenses.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our cash and remaining available borrowing capacity of $2.0 million under our 2022 Credit Line will be sufficient to meet our expected working capital needs, capital expenditures, financial commitments and other liquidity requirements associated with our existing operations for at least the next 12 months. We currently have no other committed sources of capital. If these resources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Factors—Risks Related to Our Business and Industry—Our ability to raise additional capital in the future may be limited and could prevent us from executing our growth strategy.”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our cash flows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193"/>
        </w:trPr>
        <w:tc>
          <w:tcPr>
            <w:tcW w:w="5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6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Cash provided by (used in):</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7"/>
                <w:szCs w:val="17"/>
                <w:color w:val="auto"/>
              </w:rPr>
              <w:t>Net cash provided by (used in) operating activities</w:t>
            </w:r>
          </w:p>
        </w:tc>
        <w:tc>
          <w:tcPr>
            <w:tcW w:w="900" w:type="dxa"/>
            <w:vAlign w:val="bottom"/>
          </w:tcPr>
          <w:p>
            <w:pPr>
              <w:jc w:val="right"/>
              <w:ind w:right="721"/>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5,777</w:t>
            </w:r>
          </w:p>
        </w:tc>
        <w:tc>
          <w:tcPr>
            <w:tcW w:w="10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(2,636)</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(2,218)</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(3,397)</w:t>
            </w:r>
          </w:p>
        </w:tc>
      </w:tr>
      <w:tr>
        <w:trPr>
          <w:trHeight w:val="229"/>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cash provided by (used in) investing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7"/>
        </w:trPr>
        <w:tc>
          <w:tcPr>
            <w:tcW w:w="5020" w:type="dxa"/>
            <w:vAlign w:val="bottom"/>
          </w:tcPr>
          <w:p>
            <w:pPr>
              <w:ind w:left="240"/>
              <w:spacing w:after="0"/>
              <w:rPr>
                <w:sz w:val="20"/>
                <w:szCs w:val="20"/>
                <w:color w:val="auto"/>
              </w:rPr>
            </w:pPr>
            <w:r>
              <w:rPr>
                <w:rFonts w:ascii="Arial" w:cs="Arial" w:eastAsia="Arial" w:hAnsi="Arial"/>
                <w:sz w:val="17"/>
                <w:szCs w:val="17"/>
                <w:color w:val="auto"/>
              </w:rPr>
              <w:t>Net cash provided by (used in) financing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2,328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1,178</w:t>
            </w:r>
          </w:p>
        </w:tc>
      </w:tr>
      <w:tr>
        <w:trPr>
          <w:trHeight w:val="230"/>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Effect of exchange rate changes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5"/>
        </w:trPr>
        <w:tc>
          <w:tcPr>
            <w:tcW w:w="5020" w:type="dxa"/>
            <w:vAlign w:val="bottom"/>
          </w:tcPr>
          <w:p>
            <w:pPr>
              <w:ind w:left="20"/>
              <w:spacing w:after="0"/>
              <w:rPr>
                <w:sz w:val="20"/>
                <w:szCs w:val="20"/>
                <w:color w:val="auto"/>
              </w:rPr>
            </w:pPr>
            <w:r>
              <w:rPr>
                <w:rFonts w:ascii="Arial" w:cs="Arial" w:eastAsia="Arial" w:hAnsi="Arial"/>
                <w:sz w:val="17"/>
                <w:szCs w:val="17"/>
                <w:i w:val="1"/>
                <w:iCs w:val="1"/>
                <w:color w:val="auto"/>
              </w:rPr>
              <w:t>Net increase (decrease) in cash</w:t>
            </w:r>
          </w:p>
        </w:tc>
        <w:tc>
          <w:tcPr>
            <w:tcW w:w="90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6,878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(2,733)</w:t>
            </w: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
        </w:trPr>
        <w:tc>
          <w:tcPr>
            <w:tcW w:w="50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property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used by operating activities for the nine months ended September 30, 2021 was $2.2 million compared to $3.4 million of net cash used for the nine months ended September 30, 2022. The $1.2 million increase in net cash use reflects changes in net working capital of $3.3 million, driven by higher receivable balances as of September 30, 2022, partially offset by the change in net loss after adjusting for a noncash $2.3 million gain on debt extinguishment associated with forgiveness of our PPP Loan during the nine months ended September 30, 2021.</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provided by operating activities for the year ended December 31, 2020 was $5.8 million compared to $2.6 million of net cash used for the year ended December 31, 2021. The change was primarily due to the net loss incurred in 2021 of $1.8 million, a non-cash adjustment for a gain on extinguishment of the PPP Loan of $2.3 million and changes in net working capital of $1.9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Net cash provided by investing activities for the nine months ended September 30, 2021 was nine thousand dollars and reflects $1.2 million of net proceeds received in connection with a loan receivable from New Horizon UK, a related party, partially offset by $1.0 million of cash tendered for our PolytEDA acquisition and $0.2 million of capital expenditures for property and equipment. Net cash used for the nine months ended September 30, 2022, reflects purchases of property and equipment of $0.1 million.</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generated from investing activities for the year ended December 31, 2021, was $0.2 million and reflects $1.3 million of net proceeds in connection with a loan receivable from New Horizon UK, partially offset by $1.0 million of cash paid in connection with the PolytEDA acquisition and $0.1 million of capital expenditures for property and equipment. The net cash used for the year ended December 31, 2020 reflects cash used in connection with</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acquisitions of $1.1 million and purchases of property and equipment of $0.5 million, partially offset by a related party loan receivable of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Net cash used by financing activities for the nine months ended September 30, 2021, was $0.3 million and reflects $0.3 million paid in connection with our Nangate acquisition. Net cash provided by financing activities for the nine months ended September 30, 2022, was $1.2 million and reflects the $0.5 million received from the March 2022 Loan and the draw down of $2.0 million from the 2022 Credit Line, partially offset by $0.8 million paid in connection with our Nangate and PolytEDA acquisitions, and the repayment of the December 2021 Loan.</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cash provided by financing activities for the year ended December 31, 2020, was $2.3 million reflecting proceeds from the PPP Loan, compared to net cash provided by financing activities of $0.1 million for the year ended December 31, 2021, representing the December 2021 Loan, partially offset by $0.4 million paid in connection with our Nangate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Exchange Rate Fluctuations on Cash</w:t>
      </w:r>
    </w:p>
    <w:p>
      <w:pPr>
        <w:spacing w:after="0" w:line="3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effects of exchange rate fluctuations on cash was $0.4 million and $(0.7) million at December 31, 2020 and 2021, respectively, and $(0.4) million and $(0.5) million at September 30, 2021 and 2022,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financial commitments for contractual obligations as of September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Borders>
              <w:top w:val="single" w:sz="8" w:color="auto"/>
            </w:tcBorders>
            <w:gridSpan w:val="2"/>
            <w:vMerge w:val="restart"/>
          </w:tcPr>
          <w:p>
            <w:pPr>
              <w:ind w:left="148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Contingent</w:t>
            </w: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2022</w:t>
            </w:r>
          </w:p>
        </w:tc>
        <w:tc>
          <w:tcPr>
            <w:tcW w:w="12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2022 Credit Line</w:t>
            </w: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60" w:type="dxa"/>
            <w:vAlign w:val="bottom"/>
            <w:gridSpan w:val="2"/>
            <w:vMerge w:val="continue"/>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 Liabilities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Consideration</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w:t>
            </w:r>
          </w:p>
        </w:tc>
        <w:tc>
          <w:tcPr>
            <w:tcW w:w="12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4,107</w:t>
            </w:r>
          </w:p>
        </w:tc>
        <w:tc>
          <w:tcPr>
            <w:tcW w:w="0" w:type="dxa"/>
            <w:vAlign w:val="bottom"/>
          </w:tcPr>
          <w:p>
            <w:pPr>
              <w:spacing w:after="0"/>
              <w:rPr>
                <w:sz w:val="1"/>
                <w:szCs w:val="1"/>
                <w:color w:val="auto"/>
              </w:rPr>
            </w:pPr>
          </w:p>
        </w:tc>
      </w:tr>
      <w:tr>
        <w:trPr>
          <w:trHeight w:val="23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3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7"/>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50"/>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contractual obligations</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6,203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critical accounting policies requiring estimates, assumptions, and judgments that we believe have the most significant impact on our consolidated financial statements are described below. See Note 2 to our consolidated financial statements appearing elsewhere in this prospectus for a description of our other significant accounting policies.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 and Extended Transition Period Election</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subject to the same new or revised accounting standards as other public companies that comply with such new or revised accounting standards on a non-delayed basis.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Upon completion of this offering, we will also be a “smaller reporting company.”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Our revenue is derived principally from software licensing and related maintenance and service. We enter into agreements that include combinations of software and maintenance and services, which are accounted for as separate performance obligations with differing revenue recognition patterns. We recognize revenue pursuant to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core principle of this guidance is that an entity should recognize revenue to depict the delivery of software or services to customers in an amount that reflects the consideration to which the entity expects to be entitled in exchange for such software or services. To achieve this objective we apply a five-step approach: (1) identify the contract(s) with a customer, (2) identify the performance obligations within the contract, (3) determine the transaction price, (4) allocate the transaction price to the separate performance obligations and (5) recognize revenue when, or as, each performance obligation is satisfied.</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Software license revenue is recognized upfront upon delivery of the licensed software. Typically, our software solutions are licensed with PCS which includes unspecified technical enhancements and customer support. The PCS is classified as maintenance and service revenue and is recognized ratably over the term of the maintenance period, as we satisfy the PCS performance obligation over time.</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also offer standard SIP licenses, developed both in house and in partnership with industry-recognized firms. Our SIP licenses provide customers with access to SoC design SIP which meet established industry standards, thus saving customers the time and resources required to re-invent similar design methodology. SIP licenses offered by us are generally ready to use upon delivery. No modification is required in order for the customer to obtain value for use in their integrated circuit designs. We do not license SIP without support.</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Revenue associated with the license of our SIP is classified as software license revenue and recognized as revenue upon delivery of the licensed SIP. Under certain SIP license agreements, we also derive revenue through royalties from customers who agree to pay usage-based fees to embed our SIP into their own SoCs. Royalties are generally recognized as revenue during the period in which the customer sells its solutions which incorporate our SIP. The PCS is classified as maintenance and service revenue and is recognized ratably over the term of the contract, as we satisfy the PCS performance obligation over time.</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our SIP, which is developed in partnership with third parties, we have entered into various renewable license agreements under which we have the right to sell the technology we license from third parties. When we license these particular SIP to a customer, we generally act as a principal to the transaction because we control the promised SIP that we deliver to the customer. Consistent with our role as a principal, we recognize SIP revenue on a gross basis. Royalty costs are reported in cost of revenue upon delivery pursuant to the terms and conditions of our contractual obligations with the licensors.</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also recognized an immaterial portion of our revenue from device characterization and modeling services for the years ended December 31, 2020 and 2021. Revenue is recognized upon the completion of the requested services and, as applicable, satisfaction of customer acceptance terms. Revenue from these services is classified as maintenance and service revenue.</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days. Invoicing may vary from timing of revenue recognition. When timing of invoicing or collections precedes revenue recognition, we record deferred revenue. When timing of revenue recognition precedes invoicing or collections, we record a contract asset. In instances where the timing of revenue recognition differs from the timing of invoicing, we have determined our contracts generally do not include a significant financing component.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Non-income related taxes collected from customers and remitted to governmental authorities are recorded on the consolidated balance sheets as accounts receivable and accrued expenses. The collection and payment of these amounts are reported on a net basis in the consolidated statements of income (loss).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do not offer a right of return. We warrant to our customers that our software will perform substantially as specified in our current user manuals. We have not experienced significant claims related to software warranties beyond the scope of maintenance support, which we are already obligated to provide. The warranty is not sold, and cannot be purchased, separately. The warranty does not provide any type of additional service to the customer or performance obligation for us.</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agreements with customers generally require us to indemnify the customer against claims that our software infringes third-party patent, copyright, trademark or other proprietary rights. Such indemnification obligations are generally limited in a variety of industry-standard respects, including by affirming our right to replace an infringing product.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license agreements enable customers to use our software solutions and to receive certain services. Judgment is required to determine if the promises are separate performance obligations, and if so, to allocate the transaction price to each performance obligation. We use the estimated standalone selling price method to allocate the transaction price for each performance obligation. The estimated standalone selling price is determined using all information reasonably available to us, including market conditions and other observable inputs, historical pricing and the value relationship between our various product and service offerings. The corresponding revenues are recognized as the related performance obligations are satisfied.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days. The timing of revenue recognition may differ from the timing of invoicing to customers, and these timing differences result in receivables (billed), contract assets (unbilled), or contract liabilities (deferred revenue) on our consolidated balance sheets. We record a contract asset when revenue is recognized prior to the right to invoice, or deferred revenue when revenue is recognized subsequent to invoicing. For time-based software agreements, customers are generally invoiced in equal, quarterly amounts, although some customers are invoiced in single or annual amounts. We record an unbilled receivable when revenue is recognized and it has an unconditional right to invoice and receive payment.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required to adjust promised amounts of consideration for the effects of the time value of money if the timing of the payments provides the customer or us with a significant financing benefit. We consider various factors in assessing whether a financing component exists, including the duration of the contract, market interest rates and the timing of payments. Our contracts do not include a significant financing component requiring adjustment to the transaction price.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Sales commissions associated with multi-year contracts for new term-based licenses are deferred, capitalized and amortized over an estimated customer life of five years. Capitalized sales commissions are included in prepaid and other current assets and other assets on our consolidated balance sheets. Amortization of sales commissions is included in selling and marketing expenses on our consolidated statements of income (loss). We expense sales commissions as incurred when the amortization period would have been one year or less. During the years ended December 31, 2020 and 2021, we capitalized sales commissions of $1.9 million and $0.7 million, respectively. Amortization of sales commissions during the years ended December 31, 2020 and 2021, was $0.6 million and $0.9 million, respectively. During the nine months ended September 30, 2021 and 2022, we capitalized sales commissions of $0.5 million and $0.7 million, respectively. Amortization of sales commissions during the nine months ended September 30, 2021 and 2022, was $0.6 million and $0.7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When a business combination is consummated, the assets acquired and the liabilities assumed are recognized separately from goodwill at their acquisition date fair values. Goodwill as of the acquisition date is measured as the excess of the fair value of consideration transferred over the acquisition date fair value of the net identifiable assets acquired. While best estimates and assumptions are used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as new information is obtained about facts and circumstances that existed as of the acquisition date that, if</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known, would have affected the measurement of the amounts recognized as of that date. Upon the earlier of the conclusion of the measurement period or final determination of the values of assets acquired or liabilities assumed, any subsequent adjustments are recorded in the consolidated statements of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Goodwill represents the excess of the fair value of consideration transferred over the fair value of net identifiable assets acquired. Other intangible assets consist of customer relationships, developed technology and noncompete agreements which are amortized over their useful lives, which range from two to six years. Intangible assets are reviewed for impairment whenever events or changes in circumstances indicate an asset’s carrying value may not be recoverable.</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Goodwill and intangible assets with indefinite useful lives are not amortized but are tested annually for impairment and more often if there is an indicator of impairment.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perform testing for impairment of goodwill on an annual basis, or as events occur or circumstances change that would more likely than not reduce the fair value of our single reporting unit below its carrying amount. Goodwill is considered impaired if the carrying value of the reporting unit exceeds its fair value.</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Intangible assets are reviewed for impairment whenever events or changes in circumstances indicate an asset’s carrying value may not be recoverable.</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 indicators of impairment or impairments charges were identified or recorded to goodwill or intangible assets during the fiscal years ended December 31, 2020 and 2021.</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connection with Russia's invasion of Ukraine in February of 2022, we recorded an impairment charge of $0.6 million associated with $0.6 million of intangibles held by our Ukrainian subsidiary which management determined would not be recoverable. See also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Acquisitions,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Goodwill and Intangible Assets and </w:t>
      </w:r>
      <w:r>
        <w:rPr>
          <w:rFonts w:ascii="Arial" w:cs="Arial" w:eastAsia="Arial" w:hAnsi="Arial"/>
          <w:sz w:val="17"/>
          <w:szCs w:val="17"/>
          <w:u w:val="single" w:color="auto"/>
          <w:color w:val="0000FF"/>
        </w:rPr>
        <w:t>Note 13</w:t>
      </w:r>
      <w:r>
        <w:rPr>
          <w:rFonts w:ascii="Arial" w:cs="Arial" w:eastAsia="Arial" w:hAnsi="Arial"/>
          <w:sz w:val="17"/>
          <w:szCs w:val="17"/>
          <w:color w:val="auto"/>
        </w:rPr>
        <w:t>, Fair Value of Financial Instruments of our unaudited condensed consolidated financial statements for the nine months ended September 30, 2022 appearing elsewhere in this prospectus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account for share-based payments in accordance with the authoritative guidance issued by the FASB on share-based compensation, which establishes the accounting for transactions in which an entity exchanges its equity instruments for goods or services. Under the provisions of the authoritative guidance, share-based compensation expense is measured at the grant date, based on the fair value of the award, and is recognized as an expense over the requisite employee service period (generally the vesting period), net of actual forfeitures. For share-based payment awards that contain performance criteria, share-based compensation expense is recorded when the achievement of the performance condition is considered probable of achievement and is recorded on a straight-line basis over the requisite service period. If such performance criteria are not met, no compensation expense is recognized and any recognized compensation expense is reversed.</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Historically, we have not recorded share-based compensation expense, as the RSUs granted under the 2014 Plan carry both a “time-based vesting requirement” and a “liquidity event vesting requirement,” with the satisfaction of the “liquidity event requirement” an improbable contingency as of December 31, 2020 and 2021 and September 30, 2022. See </w:t>
      </w:r>
      <w:r>
        <w:rPr>
          <w:rFonts w:ascii="Arial" w:cs="Arial" w:eastAsia="Arial" w:hAnsi="Arial"/>
          <w:sz w:val="17"/>
          <w:szCs w:val="17"/>
          <w:u w:val="single" w:color="auto"/>
          <w:color w:val="0000FF"/>
        </w:rPr>
        <w:t>Note 11</w:t>
      </w:r>
      <w:r>
        <w:rPr>
          <w:rFonts w:ascii="Arial" w:cs="Arial" w:eastAsia="Arial" w:hAnsi="Arial"/>
          <w:sz w:val="17"/>
          <w:szCs w:val="17"/>
          <w:color w:val="auto"/>
        </w:rPr>
        <w:t xml:space="preserve"> to our consolidated financial statements appearing elsewhere in this prospectus for additional information.</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As there has been no public market for our common stock to date, the estimated fair value of our common stock has been determined by our board of directors as of the date of each RSU grant, with input from management, and considering our most recently available third-party valuation of our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board of directors considered the fair value of our common stock by first determining the equity value of our company, and then allocating that value among our equity securities to derive a per share value of our common stock. The equity value of our company was determined using the market approach by reference to the closest round of equity financing, if any, preceding the date of valuation and analysis of the trading values of publicly traded companies deemed comparable to us.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118" w:lineRule="exact"/>
        <w:rPr>
          <w:sz w:val="20"/>
          <w:szCs w:val="20"/>
          <w:color w:val="auto"/>
        </w:rPr>
      </w:pPr>
    </w:p>
    <w:p>
      <w:pPr>
        <w:ind w:left="5520" w:right="5520" w:hanging="5188"/>
        <w:spacing w:after="0" w:line="765" w:lineRule="auto"/>
        <w:tabs>
          <w:tab w:leader="none" w:pos="642"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results of operations, financial position, and capital resources; 69</w:t>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industry outlook;</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lack of marketability of our common stock;</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fact that the RSU grants involve illiquid securities in a private company;</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a sale of our company, given prevailing market conditions;</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history and nature of our business, industry trends and competitive environment; and</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economic outlook including economic growth, inflation and unemployment, interest rate environment and global economic trends.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share-based compensation expense could be materially different.</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Following the completion of this offering, the fair value of our common stock will be based on the closing price as reported on the date of grant on the primary stock exchange on which our common stock is traded.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financial statements in accordance with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 the past and continue to identify material weaknesses in our internal control over financial reporting. The material weakness identified as of December 31, 2021, in connection with the preparation of our financial statements, related to an insufficient complement of personnel possessing the technical accounting and financial reporting knowledge and experience to support a timely and accurate close and financial statement reporting process.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working to remediate the material weakness and are taking steps to strengthen our internal control over financial reporting through the hiring of additional finance and accounting personnel, and we may take additional actions, including hiring additional personnel, implementing system upgrades or other organizational changes. With the additional personnel, we intend to take appropriate and reasonable steps to remediate this material weakness through the 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 described above. This material weakness has not been remediated to date.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 See “Risk Factors—General Risk Factors and Risks Related to Being a Public Company—We have identified a material weakness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had cash of $6.7 million and $4.0 million as of December 31, 2021 and September 30, 2022, respectively, which consisted of bank deposits. We do not enter into investments for trading or speculative purposes and have not used any derivative financial instruments to manage our interest rate risk exposure. On March 30, 2022, we entered into the March 2022 Loan with Ms. Ngai-Pesic, bearing interest at a rate of 3.25% per annum and payable on March 30, 2023. As of September 30, 2022, the balance of March 2022 Loan including interest was $0.5 million. On June 13, 2022, we entered into the $4.0 million 2022 Line of Credit with Ms. Ngai-Pesic, bearing interest at a rate of prime plus 1% per annum. We have drawn $2.0 million on the 2022 Line of Credit as of September 30, 2022. As of September 30, 2022, the balance of the 2022 Credit Line including interest was $2.0 million. The interest rate paid on these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borrowings is variable, indexed to the prime rate. A hypothetical 10% change in interest rates would not result in a material impact on our consolidated financial statements. We are unable to forecast future interest rates due to recent actions related to increased interest rates set by the Federal Reserve Bank.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net cash used from the effects of foreign exchange was $0.4 million and $0.5 million for the nine months ended September 30, 2021 and 2022, respectively. The change was primarily due to the strength of the U.S. dollar against the local currencies we price and collect accounts receivable against local currencies, primarily the Korean Won and the Japanese Yen, from our foreign customers and convert foreign currencies to U.S. dollars to support our operations. If foreign currency exchange rates were to change adversely by 10% from the levels at September 30, 2022, the effect on our results before taxes from foreign currency fluctuations on our balance sheet would be approximately $1.1 million. The above analysis disregards the possibility that rates for different foreign currencies can move in opposite directions and that losses from one currency may be offset by gains from another currency. As our foreign currency risk increases in the future, we will evaluate alternative strategies, including hedging, to mitigate our foreign currency exposure.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See Note 2 to our consolidated financial statements included elsewhere in this prospectus for information regarding recently issued accounting pronouncements.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provider of TCAD software, EDA software and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SoC, ICs and SIP management tools to enable team collaborations on complex SoC designs. Our customers include semiconductor manufacturers, OEMs and ODMs who deploy our solutions in production flows across our target markets, including display, power devices, automotive, memory, HPC, IoT and 5G/6G mobile markets.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According to Grand View Research, the global EDA software market was estimated to reach $10.2 billion in global revenue in 2021 and is expected to reach $22.2 billion in global revenue in 2030; representing a 9.1% CAGR, driven in part by the growing complexity of semiconductor and photonics designs and increasing challenges associated with advanced materials and shrinking process technology nodes across the EDA market. We believe these trends will increase the need for TCAD, EDA and SIP solutions that accelerate time-to-market at reduced development and manufacturing costs and deliver processes and devices with better operating performance, lower cost, reduced power and improved product yield. In estimating the growth of the EDA software market, Grand View Research considered end-use outlook in market segments including microprocessors and controllers, memory management units and others, the overall growth in the integrated circuits and electronic manufacturing markets, regional outlooks in North America , Europe, Asia Pacific , Latin America and the Middle East and Africa, Grand View Research and considered other variables, including those related to value chains, technology, regulatory frameworks, the impact of certain market drivers and market restraints, including cyber attacks, and competitive and political landscapes affecting the EDA market, and the effects of advancement of technology used in the end-use markets on the demand of EDA software solutions.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 global leader in TCAD solutions for the power devices and display markets. Our TCAD solutions are designed to provide complete, fast, and accurate simulations and modeling of semiconductor and photonics device behavior, allowing our customers to design original, value-added processes and devices, explore trade-offs in performance, power, size and reliability and optimize their final design for manufacturing. By reducing the need to run expensive and time-consuming experiments in manufacturing, TCAD solutions enable companies to rapidly bring their products to market. Our TCAD solutions have been adopted by 3 of the 10 largest semiconductor companies by revenue in 2021, by 8 of the 10 largest flat panel display companies by revenue in 2021, and by 4 of the 10 leading power semiconductor devices companies in 2021.</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EDA solutions provide analog custom design flows that bring electrical and physical layout views together with circuit simulation and physical verification including sign-off at select foundries to help ensure correct-by-design and high-yielding products before committing to final silicon. We provide device characterization and modeling solutions that enable our customers to generate accurate, high-quality models for use in simulation and analysis of analog, mixed-signal and RF circuits across our target markets. Our EDA solutions have been adopted by 6 of the 10 largest semiconductor companies by revenue in 2021 and by 7 of the 10 largest flat panel display companies by revenue in 2021.</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SIP solutions, including our offerings, provide pre-verified, high-yielding and silicon-proven SIP blocks designed to accelerate time-to-market for SoC designs. Our patented SIP fingerprint technology authenticates SIP before and after use in complex SoC designs to avoid costly design iterations and silicon re-spins. Our EDA solutions for SIP design integrate patented machine learning technologies with the goal of minimizing simulation time, chip area and power consumption. We provide SIP management software at the enterprise-level for managing, tracking and controlling SIPs that are used in SoC designs.</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leverage decades of extensive technological expertise to provide our customers with agilely developed products. In doing so, we have built long-term relationships with select strategic customers that enable us to work with them</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from project inception in order to tailor solutions for their specific needs. These customer relationships help us improve our new product offerings for the larger market.</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Since 2015, we have acquired nine businesses, assets and/or technologies to complement our existing product offerings, expand into new markets or grow our existing market share, increase our engineering talent and enhance our technical capabilities. Our acquisition strategy also allows us to accelerate new product offerings. For example, in 2020, we acquired Dolphin’s memory compiler assets and resources for providing embedded memory and register files for SoC designers and foundries. In 2021, we acquired PolytEDA to expand our capabilities for rapid physical verification of IC designs prior to mask creation and manufacturing and for cloud enablement of EDA tools. These new products are used as sign-off tools in several foundries.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Our growth has further been driven by semiconductor and photonics companies’ increasing research and development spend due to increasing complexities of new material, new devices, and new systems in the markets we address. We address such market needs by:</w:t>
      </w:r>
    </w:p>
    <w:p>
      <w:pPr>
        <w:spacing w:after="0" w:line="104" w:lineRule="exact"/>
        <w:rPr>
          <w:sz w:val="20"/>
          <w:szCs w:val="20"/>
          <w:color w:val="auto"/>
        </w:rPr>
      </w:pPr>
    </w:p>
    <w:p>
      <w:pPr>
        <w:ind w:left="660" w:hanging="328"/>
        <w:spacing w:after="0" w:line="25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EDA, TCAD and SIP solutions that are interoperable and cost-effective and that our customers can use to introduce their products to market in a timely fashion;</w:t>
      </w:r>
    </w:p>
    <w:p>
      <w:pPr>
        <w:ind w:left="660" w:hanging="328"/>
        <w:spacing w:after="0" w:line="248" w:lineRule="auto"/>
        <w:tabs>
          <w:tab w:leader="none" w:pos="6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Using advanced research and development and agile product development techniques to provide our customers with tailored solutions in vertical markets such as display, photonics, power devices, and other markets where new materials or structures are being developed;</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leading-edge products that complement IC design flows and are compatible with customers’ existing design flows; and</w:t>
      </w:r>
    </w:p>
    <w:p>
      <w:pPr>
        <w:spacing w:after="0" w:line="7"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production ready and proven SIP, EDA SIP, and SIP/IC design management solutions that can be utilized individually, or as a full interoperable solution.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Our business model primarily consists of selling time-based software licenses, with an average of 2.8 years per TBL for the year ended December 31, 2021 and the nine months ended September 30, 2022. We seek to grow our business by renewing TBL contracts and licensing new products. In addition to TBL revenue, we have revenue streams from our maintenance, support, and services. Additionally, we have historically grown our customer base annually as a result of our new product offering and services. We believe this business momentum helps increase the predictability of our bookings forecast. See </w:t>
      </w:r>
      <w:r>
        <w:rPr>
          <w:rFonts w:ascii="Arial" w:cs="Arial" w:eastAsia="Arial" w:hAnsi="Arial"/>
          <w:sz w:val="17"/>
          <w:szCs w:val="17"/>
          <w:i w:val="1"/>
          <w:iCs w:val="1"/>
          <w:color w:val="auto"/>
        </w:rPr>
        <w:t>“</w:t>
      </w:r>
      <w:r>
        <w:rPr>
          <w:rFonts w:ascii="Arial" w:cs="Arial" w:eastAsia="Arial" w:hAnsi="Arial"/>
          <w:sz w:val="17"/>
          <w:szCs w:val="17"/>
          <w:color w:val="auto"/>
        </w:rPr>
        <w:t>Management’s Discussion and Analysis of Financial Condition and Results of Operations—Key Operating Indicators and Non-GAAP Financial Measures—Bookings</w:t>
      </w:r>
      <w:r>
        <w:rPr>
          <w:rFonts w:ascii="Arial" w:cs="Arial" w:eastAsia="Arial" w:hAnsi="Arial"/>
          <w:sz w:val="17"/>
          <w:szCs w:val="17"/>
          <w:i w:val="1"/>
          <w:iCs w:val="1"/>
          <w:color w:val="auto"/>
        </w:rPr>
        <w:t>”</w:t>
      </w:r>
      <w:r>
        <w:rPr>
          <w:rFonts w:ascii="Arial" w:cs="Arial" w:eastAsia="Arial" w:hAnsi="Arial"/>
          <w:sz w:val="17"/>
          <w:szCs w:val="17"/>
          <w:color w:val="auto"/>
        </w:rPr>
        <w:t xml:space="preserve"> for the definition of “bookings.”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2021, we generated $47.2 million in bookings and recognized $42.0 million of revenue, which includes substantial recognition of up-front TBL revenue (due to the structure of certain of our customer contracts), a $1.8 million net loss and $2.6 million of negative cash flow from operating activities. During the nine months ended September 30, 2022, we generated $37.3 million in bookings and recognized $36.7 million of revenue, a $0.9 million net loss and $3.4 million of negative cash flow from operating activities. We invest significantly in business growth by continuing to expand our products, sales and marketing footprint. As of September 30, 2022, we had over 800 customers, of which over 200 were academic institutions, that relied on our solutions worldwide. Our academic customers not only have the potential to provide future human resources, but also can act as beta testers and provide feedback that allows us to enhance our products.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Increasing semiconductor design complexity. </w:t>
      </w:r>
      <w:r>
        <w:rPr>
          <w:rFonts w:ascii="Arial" w:cs="Arial" w:eastAsia="Arial" w:hAnsi="Arial"/>
          <w:sz w:val="17"/>
          <w:szCs w:val="17"/>
          <w:color w:val="auto"/>
        </w:rPr>
        <w:t>The latest technological applications require greater semiconductor performance and functionality,</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have necessitated the shift towards more advanced manufacturing process technologies, new materials, and continued reduction of transistor sizes. IC and SoC complexity have significantly increased to accommodate the increased number of functional SIP blocks per chip. The slowing of Gordon Moore’s, or Moore’s law (which states that the number of circuits on a microchip doubles every two years), has also led to the adoption of new semiconductor materials to address varying application requirements.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example, silicon carbide, or SiC, and gallium nitride, or GaN, materials are being adopted in automotive, consumer, and industrial power applications. New memory technologies, including resistive random-access memory and magneto-resistive random-access memory, or MRAM, are being deployed across mobile, HPC, and IoT applications. All these factors have increased semiconductor design complexity, which in turn increases the probability for significant development delays and project failures. As a result, we believe there is a growing need for differentiated and cost-effective tools such as TCAD, EDA and SIP solutions that enable rapid and reliable development of products containing these newly added materials and technologies.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Increasing semiconductor manufacturing and development costs. </w:t>
      </w:r>
      <w:r>
        <w:rPr>
          <w:rFonts w:ascii="Arial" w:cs="Arial" w:eastAsia="Arial" w:hAnsi="Arial"/>
          <w:sz w:val="17"/>
          <w:szCs w:val="17"/>
          <w:color w:val="auto"/>
        </w:rPr>
        <w:t>With each reduction in manufacturing process geometry comes a corresponding</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manufacturing and development costs. According to IBS, the average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cost of designing a 28nm chip is $40 million, a 7nm chip is $217 million, and a 5nm chip is $416 million and a 3nm chip will cost up to $590 million. The COVID-19 pandemic and subsequent semiconductor shortage have emphasized the need for supply chain optimization, further accelerating investments in semiconductor foundries. According to SEMI, worldwide foundry spending is expected to increase from $64.0 billion in 2020 to $109.0 billion by 2022, representing a 19% CAGR. The latest foundries being built are focused on leading-edge manufacturing process technology nodes, primarily driven by mobile applications, and require higher manufacturing yield efficiencies to offset the substantial development costs. As a result of IC technologies moving to sub 7nm process technology nodes and the resultant increase in design difficulty and development costs, we believe the continuing shift will increase demand for TCAD solutions in the design technology optimization loop to deliver high yields, accelerate time-to-market and further reduce costs by reducing the need to run expensive and time-consuming manufacturing experiments. In addition, as these trends continue, EDA solutions that meet manufacturing requirements and can reduce costs associated with potential production delays and project failures and SIP solutions which can accelerate time-to-market by providing silicon-proven blocks that address complex SoCs and enable new technologies, such as IoT and HPC, are being more readily adopted to mitigate costs and shorten time to market.</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Increasing end market diversity. </w:t>
      </w:r>
      <w:r>
        <w:rPr>
          <w:rFonts w:ascii="Arial" w:cs="Arial" w:eastAsia="Arial" w:hAnsi="Arial"/>
          <w:sz w:val="17"/>
          <w:szCs w:val="17"/>
          <w:color w:val="auto"/>
        </w:rPr>
        <w:t>There has been a significant growth in semiconductor demand driven by new applications in emerging markets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automotive, HPC and IoT. Performance and functionality requirements significantly vary across each market, which drives new design complexities and increases manufacturing and development costs. Even traditional markets for semiconductor, such as display applications, are seeing expanded use cases that require different performance and functionality needs. For example, displays in mobile require low power, augmented and virtual reality emphasizes high refresh rates, and televisions are adopting new materials such as quantum dots to reduce manufacturing complexity. The increased diversity of applications in which semiconductors are being used, is leading to a need for more complex semiconductors to satisfy the needs of such applications, which requires further time and cost to develop such semiconductor solutions. As a result, there is a growing need to accelerate time-to-market and reduce costs by adopting complete TCAD, EDA and SIP solutions that enable customers to design, simulate, verify, and analyze their products from the concept stage all the way up to complete product yield.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contend with industry performance requirements and new applications, engineers, researchers, and other professionals rely extensively on TCAD, EDA software tools and SIP for designing and optimizing advanced ICs components. Reliance on software tools and SIP has increased in recent years as design challenges have become increasingly complex.</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Rapid increase in complexity of SoCs has been the result of shrinking manufacturing process geometries, application specific customization to improve computing performance, and adoption of new materials for high voltage applications and photonics computing. These changes have led to increased investments in our research and development.</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our solutions. Our solutions address the markets set forth below.</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4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Solution/ Market</w:t>
            </w:r>
          </w:p>
        </w:tc>
        <w:tc>
          <w:tcPr>
            <w:tcW w:w="1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Automotive</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IoT</w:t>
            </w:r>
          </w:p>
        </w:tc>
        <w:tc>
          <w:tcPr>
            <w:tcW w:w="14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5G/6G</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Display</w:t>
            </w:r>
          </w:p>
        </w:tc>
        <w:tc>
          <w:tcPr>
            <w:tcW w:w="14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Memory</w:t>
            </w:r>
          </w:p>
        </w:tc>
        <w:tc>
          <w:tcPr>
            <w:tcW w:w="1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HPC</w:t>
            </w:r>
          </w:p>
        </w:tc>
        <w:tc>
          <w:tcPr>
            <w:tcW w:w="1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Power Devices</w:t>
            </w:r>
          </w:p>
        </w:tc>
      </w:tr>
      <w:tr>
        <w:trPr>
          <w:trHeight w:val="224"/>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TCAD</w:t>
            </w:r>
          </w:p>
        </w:tc>
        <w:tc>
          <w:tcPr>
            <w:tcW w:w="140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38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2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r>
      <w:tr>
        <w:trPr>
          <w:trHeight w:val="223"/>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EDA</w:t>
            </w:r>
          </w:p>
        </w:tc>
        <w:tc>
          <w:tcPr>
            <w:tcW w:w="140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38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38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2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r>
      <w:tr>
        <w:trPr>
          <w:trHeight w:val="223"/>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SIP</w:t>
            </w:r>
          </w:p>
        </w:tc>
        <w:tc>
          <w:tcPr>
            <w:tcW w:w="140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38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right w:val="single" w:sz="8" w:color="auto"/>
            </w:tcBorders>
          </w:tcPr>
          <w:p>
            <w:pPr>
              <w:spacing w:after="0" w:line="171" w:lineRule="exact"/>
              <w:rPr>
                <w:sz w:val="20"/>
                <w:szCs w:val="20"/>
                <w:color w:val="auto"/>
              </w:rPr>
            </w:pPr>
            <w:r>
              <w:rPr>
                <w:rFonts w:ascii="MS PGothic" w:cs="MS PGothic" w:eastAsia="MS PGothic" w:hAnsi="MS PGothic"/>
                <w:sz w:val="17"/>
                <w:szCs w:val="17"/>
                <w:color w:val="auto"/>
                <w:highlight w:val="black"/>
              </w:rPr>
              <w:t>✔</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Market</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semiconductor content in the automotive market is rapidly growing and evolving, driven by vehicle electrification, advances in electronic control, vehicle connectivity to the internet and autonomous driving. According to Allied Market Research, these innovations are expected to lead to significant increases in the amount spent on semiconductor content in electrification of cars, from $38.0 billion in 2020 to a projected $113.9 billion by 2030, representing a CAGR of 11.8% from 2021 to 2030.</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Power devices are at the heart of the electric vehicle revolution, from charging stations to vehicle drivetrain electronics. The new requirements of the automotive market are driving the increasing adoption of different kinds of semiconductor materials such as SiC, GaN and other wide bandgap materials to replace traditional silicon in high-voltage power devices. Companies designing or manufacturing SiC or GaN devices for the power device market can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use TCAD simulations as part of their research and development efforts to understand their devices in detail and in turn use that understanding to improve performance, manufacturing yield and reliability. Simulation replaces design of experiments and enables flexibility of foundry selection by reducing costly and time intensive physical trial and error cycles.</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addition, electrification and advanced controls in new automobiles are increasing the number of conventional (silicon-based) semiconductor devices. Desire for increasing time-to-market and engineering efficiencies pushes designers towards using and reusing SIP.</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are part of the existing ecosystems providing silicon-proven SIP to Tier 1 (module providers) and Tier 2 providers (IC providers) to automotive, truck, motorcycle and E-bike OEMs. We also provide specialized EDA solutions and foundational SIPs that our customers integrate into their IC design flow. The barrier to entry in the automotive market is high due to its requirement for innovative technologies that can include complex structures and high initial costs. Leveraging our silicon-proven SIPs enables customers to develop their solutions with functional interoperability and limit the risk of costly mistakes that may require redesign.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Internet of Things Market</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IoT market is expected to continue to grow as the industry is still in the early stage. According to Allied Market Research, the global IoT market is estimated to grow at a 18.6% CAGR from 2022 to 2031 and is projected to reach $413.7 billion by 2031. All IoT devices require a complex SoC to perform sensing, collecting data, processing data and connecting to other IoT devices or a central server or cloud through several wireless solutions. At the edge of IoT, new devices with ultra-low energy demands will be needed to harvest sensor data across a wide variety of environments. Such SoC architectures require advanced low power microprocessors, low power IO, compact bus fabrics that connect SIP blocks, and various types of embedded memories including low power, compact SRAM standards. We provide a comprehensive portfolio of SIPs and tools for the IoT market, including Standard Cell IP, library creation and characterization tools, ultra-low power SRAM compilers, connectivity IOs, microprocessor SIPs, AMRA SIP Cores and Subsystem.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5G/6G and Mobile Communications Markets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semiconductor market for mobile phones is expected to continue its rapid transition, with the continuing development from predominantly 4G phones to 5G/6G phones. As the wireless market continues to migrate to 5G/6G, high-bandwidth, low latency networks are expected to emerge among a massive number of connected devices and sensors, accompanied by an equally sophisticated chip design process. IDC estimates that mobile phone semiconductor revenue will reach $191.9 billion in 2026, and we believe the shift to 5G/6G will increase demand within our industry due to the complex nature and design cycle of 5G/6G chips. The adoption of more advanced process technology nodes for 5G mobile devices means longer circuit simulation times due to substantial increases in unwanted electrical components (parasitics) in nanometer geometries. We believe our parasitic reduction and analysis tools are unique in the market, complementing existing tool flows. Our latest parasitic reduction and analysis tools allow our customers’ design teams to accelerate circuit simulation times substantially, as compared to our earlier offerings, and perform fast root cause analyses. The development of RF Front-End Modules, or FEM, Low-Noise Amplifiers, or LNAs, Power Amplifiers, or PAs, and RF switches for millimeter wave, or mmW, and 5G applications can result in many silicon iterations, due to poor correlation between simulation and silicon measurements caused by substrate effects. We provide solutions for RF circuit designers to extract substrate parasitics, enabling designers to model these effects accurately and easily with minimal impact on simulation times. These solutions are complemented by our circuit simulation tool for RF, Physical Verification tools and our full analog/custom flow for analog block creation.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Display Market</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With the growth in adoption of mobile electronics such as smartphones, smart watches, wearables and VR, gaming, flat-screen TVs, and more, we believe semiconductors used in display technologies are of increasing importance. According to Allied Market Research, the global display market was valued at $114.9 billion in 2021, and is projected to reach $216.3 billion by 2031, representing a CAGR of 6.7% from 2022 to 2031. Display manufacturers are continuing to make large investments in OLED and AMOLED, as well as new technologies such as quantum dot-LED and MicroLED. At the same time, well-established display technologies, such as LCD, are evolving and improving. Industry adoption of photonics materials, including waveguides and photo detectors, is increasing. These trends are driving large changes in materials and fabrication methods for displays.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customers’ display development teams use our integrated TCAD solutions with our Analog/Custom design suites to analyze, understand and optimize pixel performance. Our device modeling tools help our customers’ display designers to generate accurate models of pixels, which enables them to simulate the correct behavior of displays. Our circuit simulation tool uses advanced modeling of devices to capture the capacity of the given circuit(s), with capacity to handle millions of thin-film transistors, or TFTs. Our Analog/Custom design solution provides powerful pixel array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placement and routing capabilities that our customers use to produce circuit layouts that match the customer’s manufacturing requirements and ensure design quality.</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Through deep collaborations with industry leaders and academia in the display market, we have developed highly differentiated display design solutions spanning TCAD, circuit simulation and Analog/Custom design. We believe the completeness of our display solution is the reason it is deployed at many of the top 10 largest display manufacturers by revenue in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Memory Market</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memory market for semiconductors is expected to continue growing at a fast pace, driven by large increases in the demand for dynamic random-access memory and flash memory products. According to Grand View Research, the memory semiconductor market is estimated to grow at a 5.9% CAGR from 2020 to 2027 and is projected to reach $134.6 billion in 2027. Within data centers, AI technologies require new types of memory technologies such as MRAM that perform weighting calculations in the memory chip itself. We believe our TCAD solution, complemented by our device modeling tools and services, enables memory design teams to explore new materials and device architectures and achieve optimum power and performance for memory elements. Design and technology co-optimization, or DTCO, utilizing both TCAD and EDA solutions to enable designing optimum memory elements is an important steppingstone for many leading-edge ICs in this market, and we provide a targeted DTCO solution for the memory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Performance Computing Market</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Today, HPC applications involve customized architectures, which in turn, may require specialized circuit and memory elements to implement. Quantum and photonics computing further apply new technologies to address application specific challenges. All these require complex modeling simulations. Our foundational SIPs, memory compilers and library creation EDA tools have been adopted by our customers in HPC applications, which we believe allow our customers to gain a performance edge by using specialized circuits. We also provide modeling services and circuit libraries for cryogenic temperatures used in quantum computing and our TCAD software is being used to design photonics devices.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there will be significant demand for our solutions that meet the performance, power and latency requirements while reducing overall costs. We believe DTCO utilizing both TCAD and EDA to address the complexity of design in the HPC market is now used by many leading-edge ICs, and we offer a complete suite of DTCO flow optimization solutions to address such needs. According to Allied Market Research, the global HPC chipset market is estimated to grow at a 19.1% CAGR from 2019 to 2027.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Electronics Market</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 the advent of high-volume manufacturing of new process technologies such as SiC and GaN, many OEMs and ODMs are producing electronic devices and systems that benefit from these technologies. GaN is being used for low power/voltage, high frequency applications and SiC is being used for high power and high voltage switching power applications. These technologies can enable smaller, faster and lower power devices than those built with prior technologies. As a result, many suppliers are switching their products from dated Silicon based devices to wide band-gap, or WBG, semiconductor materials such as GaN. For example, GaN technology has enabled the replacement of existing silicon-based power supplies for laptops, vehicles and battery charging with smaller and lower power solutions.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have gained new customers that utilized, and were early adopters of, our TCAD and EDA solutions to address their simulation/analysis needs for these new technologies at foundries, device and process levels all the way up to the system design for power management.</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According to Allied Market Research, the global power electronics market size was valued at $26.6 billion in 2021, and is projected to reach $43.7 billion by 2031, growing at a CAGR of 5.1% from 2022 to 2031. Power electronics play an important role in electrified vehicle applications that provide compact and high-efficient solutions to power conversion. Given the foundries, design houses, ODMs, OEMS, Tier 1s and Tier 2s that provide power electronics solutions, we benefit by enabling our customers in this market with both our TCAD and EDA solutions.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Challenges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Design and manufacturing of SoCs is a time intensive and costly process. Complex IoT class of SoC and GPU class processor cost millions to billions of dollars to develop. The development, qualification and manufacturing cycle for SoCs varies by market and may require lengthy development times. The main challenges for the industry include:</w:t>
      </w:r>
    </w:p>
    <w:p>
      <w:pPr>
        <w:spacing w:after="0" w:line="6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Rapid increase of design complexity for ICs and SoCs.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Driven by market demands for more functionality, performance, and lower cost, IC design and SoC design organizations are faced with designing and developing more complex designs with every new generation of their products. Today, many multiprocessor ICs have gate complexities of billions of gates, which were not possible to design a decade ago. One key factor that has historically driven IC and SoC design complexity is the need to scale and reduce transistor sizes over time, as predicted by Moore’s law over three decades ago. As designs approach below 7nm and down to 3nm process technologies, IC/SoC complexity and differentiation is increasingly handled through product-development and design tools rather than manufacturing. Many IC and SoC makers are outsourcing IC manufacturing to foundries, and product differentiation is achieved during design through utilization of EDA tools, TCAD tools and SIPs.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seek to reduce design complexity of ICs and SoCs by providing silicon-proven, re-useable SIPs, EDA tools for automatic generation of low power and small area SIPs, design management tools for revision-controlled collaboration among the team, and EDA tools enabling fast simulation of chips and automated layout generation and verification.</w:t>
      </w:r>
    </w:p>
    <w:p>
      <w:pPr>
        <w:spacing w:after="0" w:line="6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Rapid increase of design cost and time for ICs and SoCs.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Generally, as design complexity increases so to do design costs and time to get the product to market. The main factors driving development cost and time are associated with the number of personnel required to design, the verification of the design, and the test and validation of the design, as well as the cost of tools for design, verification, test and validation, and the associated manufacturing costs of masks, wafers and production costs, including testing. In general, the more complex the IC, the more personnel and more tools per personnel are needed, hence increasing the cost of design. Many new GPU processors require thousands of engineers to design over many years.</w:t>
      </w:r>
    </w:p>
    <w:p>
      <w:pPr>
        <w:spacing w:after="0" w:line="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Evolving manufacturing complexity processes, supply chains and yields.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semiconductor industry has made great strides in progressing semiconductor innovation. Researchers have consistently kept pace with Moore’s Law where the latest IC process technology nodes are at 7nm, 5nm, 3nm and 2nm. The industry has accomplished this by experimenting with variations of semiconductor materials and corresponding processes to enable high-volume production for devices made of SiC and GaN. We seek to provide for acceptable manufacturing yield through our TCAD and EDA tools, which utilize machine learning and computer experiments to simulate processes with different materials without having to go through the costly and lengthy fabrication processes. We believe that our tools allow fast convergence on candidate materials and processes to meet market requirements by replacing fabrication and wafer level yield design of experiments with simulation driven manufacturing and yield enhancements.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such pervasive and challenging requirements, companies must allocate significant time and resources towards the design cycle. Engineers have, in turn, come to rely on powerful software tools to simulate, optimize, approve, plan, validate and verify all aspects of the design process, thereby maximizing reliability, agility and performance at reduced cost. We believe this strong value proposition will continue to drive demand for our design automation software tools.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Competitive Strengths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a provider of TCAD, EDA and SIP solutions. We have decades of expertise developing the “technology behind the chip” and providing solutions that span from atoms to systems, from providing software for the atomic level simulation of semiconductor and photonics material for devices, to providing software and SIP for the design and analysis of circuits and system level solutions. Our primary strengths include:</w:t>
      </w:r>
    </w:p>
    <w:p>
      <w:pPr>
        <w:spacing w:after="0" w:line="114" w:lineRule="exact"/>
        <w:rPr>
          <w:sz w:val="20"/>
          <w:szCs w:val="20"/>
          <w:color w:val="auto"/>
        </w:rPr>
      </w:pPr>
    </w:p>
    <w:p>
      <w:pPr>
        <w:jc w:val="both"/>
        <w:ind w:left="660" w:hanging="328"/>
        <w:spacing w:after="0" w:line="256" w:lineRule="auto"/>
        <w:tabs>
          <w:tab w:leader="none" w:pos="669"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Enabling companies to accelerate IC and photonics designs to efficiently optimize devices. </w:t>
      </w:r>
      <w:r>
        <w:rPr>
          <w:rFonts w:ascii="Arial" w:cs="Arial" w:eastAsia="Arial" w:hAnsi="Arial"/>
          <w:sz w:val="17"/>
          <w:szCs w:val="17"/>
          <w:color w:val="auto"/>
        </w:rPr>
        <w:t>Companies use TCAD solutions to model the</w:t>
      </w:r>
      <w:r>
        <w:rPr>
          <w:rFonts w:ascii="Arial" w:cs="Arial" w:eastAsia="Arial" w:hAnsi="Arial"/>
          <w:sz w:val="17"/>
          <w:szCs w:val="17"/>
          <w:i w:val="1"/>
          <w:iCs w:val="1"/>
          <w:color w:val="auto"/>
        </w:rPr>
        <w:t xml:space="preserve"> </w:t>
      </w:r>
      <w:r>
        <w:rPr>
          <w:rFonts w:ascii="Arial" w:cs="Arial" w:eastAsia="Arial" w:hAnsi="Arial"/>
          <w:sz w:val="17"/>
          <w:szCs w:val="17"/>
          <w:color w:val="auto"/>
        </w:rPr>
        <w:t>fabrication process and devices used in semiconductors and photonics, thus potentially accelerating the time to develop technology and ramping to yield, reducing the need to run wafers, and optimizing devices, all of which can contribute to lower development costs. We develop our EDA design and simulation solutions and SIP to be tailored to specific technologies and market segments, to enhance design flows that optimize Power, Performance and Area-Cost, or PPA. For example, our Victory process and Victory device along with simulation and machine learning is capable of DTCO flow that can optimize photonics devices such as image sensors, quantum dots, micro-LEDs and displays.</w:t>
      </w:r>
    </w:p>
    <w:p>
      <w:pPr>
        <w:jc w:val="both"/>
        <w:ind w:left="660" w:hanging="328"/>
        <w:spacing w:after="0" w:line="248" w:lineRule="auto"/>
        <w:tabs>
          <w:tab w:leader="none" w:pos="682"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Early mover advantage in vertical markets. </w:t>
      </w:r>
      <w:r>
        <w:rPr>
          <w:rFonts w:ascii="Arial" w:cs="Arial" w:eastAsia="Arial" w:hAnsi="Arial"/>
          <w:sz w:val="17"/>
          <w:szCs w:val="17"/>
          <w:color w:val="auto"/>
        </w:rPr>
        <w:t>For decades we have focused on vertical markets, such as display and power,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industrial and academic partnerships that enable our agile and fast development of solutions aligned with market needs, such as our TCAD and EDA software solutions tailored for use in the display and power markets. The lessons learned in these markets have prepared us for tailoring solutions for new vertical markets including the photonics and memory markets.</w:t>
      </w:r>
    </w:p>
    <w:p>
      <w:pPr>
        <w:spacing w:after="0" w:line="2" w:lineRule="exact"/>
        <w:rPr>
          <w:rFonts w:ascii="Arial" w:cs="Arial" w:eastAsia="Arial" w:hAnsi="Arial"/>
          <w:sz w:val="17"/>
          <w:szCs w:val="17"/>
          <w:color w:val="auto"/>
        </w:rPr>
      </w:pPr>
    </w:p>
    <w:p>
      <w:pPr>
        <w:ind w:left="660" w:hanging="328"/>
        <w:spacing w:after="0" w:line="281" w:lineRule="auto"/>
        <w:tabs>
          <w:tab w:leader="none" w:pos="669"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Leading point tools complement existing chip design flows. </w:t>
      </w:r>
      <w:r>
        <w:rPr>
          <w:rFonts w:ascii="Arial" w:cs="Arial" w:eastAsia="Arial" w:hAnsi="Arial"/>
          <w:sz w:val="17"/>
          <w:szCs w:val="17"/>
          <w:color w:val="auto"/>
        </w:rPr>
        <w:t>Point tools offer the capability of optimizing very specific aspects in a design.</w:t>
      </w:r>
      <w:r>
        <w:rPr>
          <w:rFonts w:ascii="Arial" w:cs="Arial" w:eastAsia="Arial" w:hAnsi="Arial"/>
          <w:sz w:val="17"/>
          <w:szCs w:val="17"/>
          <w:i w:val="1"/>
          <w:iCs w:val="1"/>
          <w:color w:val="auto"/>
        </w:rPr>
        <w:t xml:space="preserve"> </w:t>
      </w:r>
      <w:r>
        <w:rPr>
          <w:rFonts w:ascii="Arial" w:cs="Arial" w:eastAsia="Arial" w:hAnsi="Arial"/>
          <w:sz w:val="17"/>
          <w:szCs w:val="17"/>
          <w:color w:val="auto"/>
        </w:rPr>
        <w:t>These capabilities are often included as features in other design tools; by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660"/>
        <w:spacing w:after="0" w:line="255" w:lineRule="auto"/>
        <w:rPr>
          <w:sz w:val="20"/>
          <w:szCs w:val="20"/>
          <w:color w:val="auto"/>
        </w:rPr>
      </w:pPr>
      <w:r>
        <w:rPr>
          <w:rFonts w:ascii="Arial" w:cs="Arial" w:eastAsia="Arial" w:hAnsi="Arial"/>
          <w:sz w:val="17"/>
          <w:szCs w:val="17"/>
          <w:color w:val="auto"/>
        </w:rPr>
        <w:t>offering them as stand-alone capabilities to be integrated in any design flow, we believe we can extract more value from these capabilities. They include Jivaro (parasitic reduction, often included in circuit simulation), Viso (parasitics analysis, often included in extraction), and Varman (statistical variation analysis, used in advanced technologies for cell and memory characterization).</w:t>
      </w:r>
    </w:p>
    <w:p>
      <w:pPr>
        <w:jc w:val="both"/>
        <w:ind w:left="660" w:hanging="328"/>
        <w:spacing w:after="0" w:line="251" w:lineRule="auto"/>
        <w:tabs>
          <w:tab w:leader="none" w:pos="669"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Production-ready, also known as silicon-proven, SIP for SoC design. </w:t>
      </w:r>
      <w:r>
        <w:rPr>
          <w:rFonts w:ascii="Arial" w:cs="Arial" w:eastAsia="Arial" w:hAnsi="Arial"/>
          <w:sz w:val="17"/>
          <w:szCs w:val="17"/>
          <w:color w:val="auto"/>
        </w:rPr>
        <w:t>The SIP market continues to be the fastest growing segment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EDA market. A key factor in reducing our customers’ design complexity is our ability to provide production-ready SIP to our customers. We provide production-ready SIP to our customers in the automotive market (Flexcan, Flexray and I3C), and consumer markets (GPIO, I3C and AMRA) by productizing our partner’s, NXP Semiconductor Netherlands B.V., or NXP, production-ready SIP. In addition, we provide production-ready standard cells, memory and I/O SIP that is developed in-house. Lastly, we provide SIP and design management tools that enable SIP validation at SoC level, potentially streamlining design workflows.</w:t>
      </w:r>
    </w:p>
    <w:p>
      <w:pPr>
        <w:spacing w:after="0" w:line="1" w:lineRule="exact"/>
        <w:rPr>
          <w:rFonts w:ascii="Arial" w:cs="Arial" w:eastAsia="Arial" w:hAnsi="Arial"/>
          <w:sz w:val="17"/>
          <w:szCs w:val="17"/>
          <w:color w:val="auto"/>
        </w:rPr>
      </w:pPr>
    </w:p>
    <w:p>
      <w:pPr>
        <w:jc w:val="both"/>
        <w:ind w:left="660" w:hanging="328"/>
        <w:spacing w:after="0" w:line="251"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support of our customers’ specific needs. </w:t>
      </w:r>
      <w:r>
        <w:rPr>
          <w:rFonts w:ascii="Arial" w:cs="Arial" w:eastAsia="Arial" w:hAnsi="Arial"/>
          <w:sz w:val="17"/>
          <w:szCs w:val="17"/>
          <w:color w:val="auto"/>
        </w:rPr>
        <w:t>Our size and focus on specific market segments allow us to develop highly agile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and to work with our customers with a goal of developing solutions that meet their specific needs. Our field support engineers interact strongly with our development team to facilitate competent, timely support. Through our collaboration with our academic partners such as Purdue University and Christian Doppler Labs at the University of Vienna, our TCAD and EDA tools are made ready for the next generation of processes, materials and systems.</w:t>
      </w:r>
    </w:p>
    <w:p>
      <w:pPr>
        <w:spacing w:after="0" w:line="3" w:lineRule="exact"/>
        <w:rPr>
          <w:rFonts w:ascii="Arial" w:cs="Arial" w:eastAsia="Arial" w:hAnsi="Arial"/>
          <w:sz w:val="17"/>
          <w:szCs w:val="17"/>
          <w:color w:val="auto"/>
        </w:rPr>
      </w:pPr>
    </w:p>
    <w:p>
      <w:pPr>
        <w:jc w:val="both"/>
        <w:ind w:left="660" w:hanging="328"/>
        <w:spacing w:after="0" w:line="252"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Interoperable product Portfolio among TCAD, EDA and SIP. </w:t>
      </w:r>
      <w:r>
        <w:rPr>
          <w:rFonts w:ascii="Arial" w:cs="Arial" w:eastAsia="Arial" w:hAnsi="Arial"/>
          <w:sz w:val="17"/>
          <w:szCs w:val="17"/>
          <w:color w:val="auto"/>
        </w:rPr>
        <w:t>Our tools have compatible databases across all of our products for seamless</w:t>
      </w:r>
      <w:r>
        <w:rPr>
          <w:rFonts w:ascii="Arial" w:cs="Arial" w:eastAsia="Arial" w:hAnsi="Arial"/>
          <w:sz w:val="17"/>
          <w:szCs w:val="17"/>
          <w:i w:val="1"/>
          <w:iCs w:val="1"/>
          <w:color w:val="auto"/>
        </w:rPr>
        <w:t xml:space="preserve"> </w:t>
      </w:r>
      <w:r>
        <w:rPr>
          <w:rFonts w:ascii="Arial" w:cs="Arial" w:eastAsia="Arial" w:hAnsi="Arial"/>
          <w:sz w:val="17"/>
          <w:szCs w:val="17"/>
          <w:color w:val="auto"/>
        </w:rPr>
        <w:t>scaling of customer designs. Our product interoperability allows our customers to extend select competitors’ tools to aid our customers in choosing their preferred tools for any given design step. For example, our customers can use our simulation tools and parasitic reduction tools through the graphical user interface or menu pull downs built into our competitors’ tools.</w:t>
      </w:r>
    </w:p>
    <w:p>
      <w:pPr>
        <w:spacing w:after="0" w:line="2" w:lineRule="exact"/>
        <w:rPr>
          <w:rFonts w:ascii="Arial" w:cs="Arial" w:eastAsia="Arial" w:hAnsi="Arial"/>
          <w:sz w:val="17"/>
          <w:szCs w:val="17"/>
          <w:color w:val="auto"/>
        </w:rPr>
      </w:pPr>
    </w:p>
    <w:p>
      <w:pPr>
        <w:jc w:val="both"/>
        <w:ind w:left="660" w:hanging="328"/>
        <w:spacing w:after="0" w:line="254" w:lineRule="auto"/>
        <w:tabs>
          <w:tab w:leader="none" w:pos="682"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Cost-effective end-to-end solutions. </w:t>
      </w:r>
      <w:r>
        <w:rPr>
          <w:rFonts w:ascii="Arial" w:cs="Arial" w:eastAsia="Arial" w:hAnsi="Arial"/>
          <w:sz w:val="17"/>
          <w:szCs w:val="17"/>
          <w:color w:val="auto"/>
        </w:rPr>
        <w:t>We offer complete solutions for device characterization, compact model development and circuit</w:t>
      </w:r>
      <w:r>
        <w:rPr>
          <w:rFonts w:ascii="Arial" w:cs="Arial" w:eastAsia="Arial" w:hAnsi="Arial"/>
          <w:sz w:val="17"/>
          <w:szCs w:val="17"/>
          <w:i w:val="1"/>
          <w:iCs w:val="1"/>
          <w:color w:val="auto"/>
        </w:rPr>
        <w:t xml:space="preserve"> </w:t>
      </w:r>
      <w:r>
        <w:rPr>
          <w:rFonts w:ascii="Arial" w:cs="Arial" w:eastAsia="Arial" w:hAnsi="Arial"/>
          <w:sz w:val="17"/>
          <w:szCs w:val="17"/>
          <w:color w:val="auto"/>
        </w:rPr>
        <w:t>simulation; analog custom design, including schematics, layout, extraction and design rule check, or DRC, and process and device TCAD. We believe that our software solution pricing is competitive, which is derived from factors such as costs associated with research and development, inflation, licenses mix, number of licenses per product, and number of years per TBL, as well as required license maintenance and services. Furthermore, our solutions are largely self-sufficient in that no third-party tools are necessary to address the end-to-end tasks preformed. Our atoms to systems and interoperable solutions enable customers to start their designs from concept and take them to manufacture ready and verified complete design. For example, customers can simulate a new device technology at the atomic level (e.g., nanowire and nanosheet) using our Victory Atomistic TCAD, which generates accurate models that are handed off to our device simulators such as Smart Spice, while larger circuits generate block level SIP with our analog custom suite of tools (Gateway, Expert, Smart Spice, Smart LV/DRC, Hipex, Jivaro and Varman) verified at the SoC level for manufacturing.</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Based on a report conducted by Electronic System Design Alliance, in 2021 we ranked second worldwide in the TCAD market based on revenue. Our solutions, many of which can be used in tandem with our competitors’ tools, have been adopted by some of the leading display and power devices providers. These customers use our design software to address certain design challenges. We believe that our positions in the TCAD and displays and power devices markets are strengthened by our EDA product line capabilities. For example, our display simulation models and features help us differentiate when we combine EDA with TCAD. We believe that we have a competitive advantage in these markets in part due to our investment in advanced semiconductor and photonics TCAD solutions, including investments in atomistic simulations, process etch, process deposition and design of experiments, or DOE, that are AI driven. We also believe that our academic partnerships with key research universities, including Purdue, the University of Vienna and Stanford, who have focused TCAD related studies, gives us a competitive advantage relative to peer companies. Lastly, we believe that we differentiate our products from our competitors’ products by providing solutions that address specific customer needs and requirements in the TCAD and displays and power devices markets.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believe that our agility and synergies among product lines play a crucial role in competing in EDA. For example, our circuit simulator offers capabilities for the display market, such as a differentiated model for Thin Film Transistors (a device extensively used in displays), and hysteresis and stress simulation features. Customers using our TCAD products can adopt our EDA products and TCAD simulation, device modeling (UTMOST product and services) and circuit simulation (SmartSpice) form a natural combination. We have also developed software that certain of our customers have labelled as having best-in-class point tools capabilities. To our knowledge, standalone RC reduction (Jivaro) is not offered by competitors and is included in products like circuit simulation. We believe that we have a strong market position in this market niche and that our solution is competitive to other solutions in the market. Also, in the highly competitive analog custom design market, particularly for more mature technologies, we believe that our willingness and capability of developing process design kits, or PDKs, for specific technologies has the potential to give us a natural advantage.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we provide competitive SIP solutions targeting certain end markets. For example, we license our SIP solution that targets the automotive industry from NXP, which is a leading provider of SoCs for the automotive market. In addition, our SIP solutions are qualified and silicon-proven at certain foundries, which we believe enables our customers using such foundries to lower their cost of development and reduce their time to market compared to SIP solutions that are not silicon-proven at such foundries. Additionally, the commercialization of proven SIP from our semiconductor partners has the potential to help our customers get to market in a timely fashion, and our SIP software tools automatically generate and characterize SIP such as standard cells, embedded memories and I/O, each of which provide for a competitive edge.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 our knowledge, we are one of only two EDA/TCAD companies in the world that provide SIP to their customers. Unlike the non-EDA SIP companies, as an EDA company, we have open access to our own Analog Custom Design flow EDA software that we use for designing SIP for our customers hence not incurring the EDA tool costs that non-EDA SIP providers incur. Further, we are commercializing silicon-proven SIP from our partners such as NXP that we believe improves our customers’ time to market compared to the SIP providers that have to create, qualify and verify their unproven designs. Finally, we have developed SIP tools that not only automate generation and characterization of some of our SIPs, but also have SIP management tools as our product that we utilize to manage our SIP and customer SIPs.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Strategy</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as the demands of semiconductor technology continue to grow and increase in complexity, we are favorably positioned to deliver value to our customers with our TCAD, EDA and SIP solutions. To further our long-term growth and increase our market share, we have made initial investments in the following areas:</w:t>
      </w:r>
    </w:p>
    <w:p>
      <w:pPr>
        <w:spacing w:after="0" w:line="133" w:lineRule="exact"/>
        <w:rPr>
          <w:sz w:val="20"/>
          <w:szCs w:val="20"/>
          <w:color w:val="auto"/>
        </w:rPr>
      </w:pPr>
    </w:p>
    <w:p>
      <w:pPr>
        <w:jc w:val="both"/>
        <w:ind w:left="660" w:hanging="328"/>
        <w:spacing w:after="0" w:line="254"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Focus on large, growing markets where we have cemented ourselves as a reliable solutions provider. </w:t>
      </w:r>
      <w:r>
        <w:rPr>
          <w:rFonts w:ascii="Arial" w:cs="Arial" w:eastAsia="Arial" w:hAnsi="Arial"/>
          <w:sz w:val="17"/>
          <w:szCs w:val="17"/>
          <w:color w:val="auto"/>
        </w:rPr>
        <w:t>We seek to continue and expand our</w:t>
      </w:r>
      <w:r>
        <w:rPr>
          <w:rFonts w:ascii="Arial" w:cs="Arial" w:eastAsia="Arial" w:hAnsi="Arial"/>
          <w:sz w:val="17"/>
          <w:szCs w:val="17"/>
          <w:i w:val="1"/>
          <w:iCs w:val="1"/>
          <w:color w:val="auto"/>
        </w:rPr>
        <w:t xml:space="preserve"> </w:t>
      </w:r>
      <w:r>
        <w:rPr>
          <w:rFonts w:ascii="Arial" w:cs="Arial" w:eastAsia="Arial" w:hAnsi="Arial"/>
          <w:sz w:val="17"/>
          <w:szCs w:val="17"/>
          <w:color w:val="auto"/>
        </w:rPr>
        <w:t>presence in the display, automotive semiconductor, memory device and IoT markets. The display, automotive semiconductor, memory, HPC and IoT markets are projected to grow at a CAGR of 6.7%, 11.8%, 5.9%, 19.1% and 18.6%, respectively (for the respective periods described elsewhere in this prospectus). We believe our current position will allow us to capitalize on the growth of our existing customers in these markets. Proof of the point is the fact that our revenue and bookings have grown in these markets with existing and new customers since 2019. For example, our revenue was $40.3 million and $42.0 million, for the years ended December 31, 2020 and 2021, respectively, and our bookings were $44.0 million and $47.3 million, for the years ended December 31, 2020 and 2021, respectively.</w:t>
      </w:r>
    </w:p>
    <w:p>
      <w:pPr>
        <w:spacing w:after="0" w:line="5" w:lineRule="exact"/>
        <w:rPr>
          <w:rFonts w:ascii="Arial" w:cs="Arial" w:eastAsia="Arial" w:hAnsi="Arial"/>
          <w:sz w:val="17"/>
          <w:szCs w:val="17"/>
          <w:color w:val="auto"/>
        </w:rPr>
      </w:pPr>
    </w:p>
    <w:p>
      <w:pPr>
        <w:jc w:val="both"/>
        <w:ind w:left="660" w:hanging="328"/>
        <w:spacing w:after="0" w:line="252"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Expand into established market segments. </w:t>
      </w:r>
      <w:r>
        <w:rPr>
          <w:rFonts w:ascii="Arial" w:cs="Arial" w:eastAsia="Arial" w:hAnsi="Arial"/>
          <w:sz w:val="17"/>
          <w:szCs w:val="17"/>
          <w:color w:val="auto"/>
        </w:rPr>
        <w:t>We plan to expand into established market segments, which include FinFET and specialized SIP,</w:t>
      </w:r>
      <w:r>
        <w:rPr>
          <w:rFonts w:ascii="Arial" w:cs="Arial" w:eastAsia="Arial" w:hAnsi="Arial"/>
          <w:sz w:val="17"/>
          <w:szCs w:val="17"/>
          <w:i w:val="1"/>
          <w:iCs w:val="1"/>
          <w:color w:val="auto"/>
        </w:rPr>
        <w:t xml:space="preserve"> </w:t>
      </w:r>
      <w:r>
        <w:rPr>
          <w:rFonts w:ascii="Arial" w:cs="Arial" w:eastAsia="Arial" w:hAnsi="Arial"/>
          <w:sz w:val="17"/>
          <w:szCs w:val="17"/>
          <w:color w:val="auto"/>
        </w:rPr>
        <w:t>fabrication process optimization, and photonics. We have established beta and strategic customers and generated revenue in 2021 and 2022 from the beta customers in our target markets to further our expansion in these market segments. Many of our strategic customers engage in advanced research and development projects with us, with a goal of further developing their product simulation capabilities. We believe that their participation in verification and validation of our newly developed products has the potential to enhance our product quality and market testing.</w:t>
      </w:r>
    </w:p>
    <w:p>
      <w:pPr>
        <w:spacing w:after="0" w:line="4" w:lineRule="exact"/>
        <w:rPr>
          <w:rFonts w:ascii="Arial" w:cs="Arial" w:eastAsia="Arial" w:hAnsi="Arial"/>
          <w:sz w:val="17"/>
          <w:szCs w:val="17"/>
          <w:color w:val="auto"/>
        </w:rPr>
      </w:pPr>
    </w:p>
    <w:p>
      <w:pPr>
        <w:jc w:val="both"/>
        <w:ind w:left="660" w:hanging="328"/>
        <w:spacing w:after="0" w:line="252"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Continue our history of strategic acquisitions to accelerate growth and expand our market footprint. </w:t>
      </w:r>
      <w:r>
        <w:rPr>
          <w:rFonts w:ascii="Arial" w:cs="Arial" w:eastAsia="Arial" w:hAnsi="Arial"/>
          <w:sz w:val="17"/>
          <w:szCs w:val="17"/>
          <w:color w:val="auto"/>
        </w:rPr>
        <w:t>We have a strong history of acquisitions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have enabled our research and development endeavors and target to realize revenue from new product introductions from such acquisitions beginning in the second-year post-acquisition. Since 2015, we have acquired nine companies that have enhanced and expanded our product portfolio. For example, we acquired PolytEDA in 2021, which expanded our capabilities for rapid physical verification of IC designs prior to mask creation and manufacturing and cloud enablement of EDA tools. We also acquired Dolphin’s memory compiler team and select SIPs in 2020. This acquisition added memory and memory compiler capabilities to our SIP. Certain of our customers who require embedded memories in their IC and SoC designs are taking advantage of our low power and small area embedded memory. Historically, we have focused on acquisitions that provide us with technology (e.g., Purdue Atomics simulation tools, commercialized under our Victory Atomistic tools), technical talent, and revenue in new markets. Examples of such acquisitions are EdExact in France and Invarin in the United States, which provided us with additional talent pools as well as tools, such as Jivaro and Invar, that we successfully introduced to market. We intend to continue to target acquisitions that allow us to expand our solutions portfolio to better service our customers’ needs.</w:t>
      </w:r>
    </w:p>
    <w:p>
      <w:pPr>
        <w:spacing w:after="0" w:line="199" w:lineRule="exact"/>
        <w:rPr>
          <w:rFonts w:ascii="Arial" w:cs="Arial" w:eastAsia="Arial" w:hAnsi="Arial"/>
          <w:sz w:val="17"/>
          <w:szCs w:val="17"/>
          <w:color w:val="auto"/>
        </w:rPr>
      </w:pPr>
    </w:p>
    <w:p>
      <w:pPr>
        <w:jc w:val="both"/>
        <w:ind w:left="660" w:hanging="328"/>
        <w:spacing w:after="0" w:line="252" w:lineRule="auto"/>
        <w:tabs>
          <w:tab w:leader="none" w:pos="682"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Leverage our technology in TCAD, EDA, SIP and SIP management software. </w:t>
      </w:r>
      <w:r>
        <w:rPr>
          <w:rFonts w:ascii="Arial" w:cs="Arial" w:eastAsia="Arial" w:hAnsi="Arial"/>
          <w:sz w:val="17"/>
          <w:szCs w:val="17"/>
          <w:color w:val="auto"/>
        </w:rPr>
        <w:t>We plan to continue to invest in the technology that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differentiates us and where we can establish or expand our leadership position, such as TCAD for display, power devices and photonics, simulation of large panels with complex device models, parasitic analysis and reduction, SIP management and fingerprinting, device characterization tools and services and development of additional SIP.</w:t>
      </w:r>
    </w:p>
    <w:p>
      <w:pPr>
        <w:spacing w:after="0" w:line="2" w:lineRule="exact"/>
        <w:rPr>
          <w:rFonts w:ascii="Arial" w:cs="Arial" w:eastAsia="Arial" w:hAnsi="Arial"/>
          <w:sz w:val="17"/>
          <w:szCs w:val="17"/>
          <w:color w:val="auto"/>
        </w:rPr>
      </w:pPr>
    </w:p>
    <w:p>
      <w:pPr>
        <w:ind w:left="660" w:hanging="328"/>
        <w:spacing w:after="0" w:line="264" w:lineRule="auto"/>
        <w:tabs>
          <w:tab w:leader="none" w:pos="682"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Optimize our competitive advantage by addressing unique customer needs. </w:t>
      </w:r>
      <w:r>
        <w:rPr>
          <w:rFonts w:ascii="Arial" w:cs="Arial" w:eastAsia="Arial" w:hAnsi="Arial"/>
          <w:sz w:val="17"/>
          <w:szCs w:val="17"/>
          <w:color w:val="auto"/>
        </w:rPr>
        <w:t>We pride ourselves on research and development agility,</w:t>
      </w:r>
      <w:r>
        <w:rPr>
          <w:rFonts w:ascii="Arial" w:cs="Arial" w:eastAsia="Arial" w:hAnsi="Arial"/>
          <w:sz w:val="17"/>
          <w:szCs w:val="17"/>
          <w:i w:val="1"/>
          <w:iCs w:val="1"/>
          <w:color w:val="auto"/>
        </w:rPr>
        <w:t xml:space="preserve"> </w:t>
      </w:r>
      <w:r>
        <w:rPr>
          <w:rFonts w:ascii="Arial" w:cs="Arial" w:eastAsia="Arial" w:hAnsi="Arial"/>
          <w:sz w:val="17"/>
          <w:szCs w:val="17"/>
          <w:color w:val="auto"/>
        </w:rPr>
        <w:t>allowing us to design capabilities specific to customers’ requirements and, where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line="258" w:lineRule="auto"/>
        <w:rPr>
          <w:sz w:val="20"/>
          <w:szCs w:val="20"/>
          <w:color w:val="auto"/>
        </w:rPr>
      </w:pPr>
      <w:r>
        <w:rPr>
          <w:rFonts w:ascii="Arial" w:cs="Arial" w:eastAsia="Arial" w:hAnsi="Arial"/>
          <w:sz w:val="17"/>
          <w:szCs w:val="17"/>
          <w:color w:val="auto"/>
        </w:rPr>
        <w:t>appropriate, integrate those capabilities into our software solutions. We also offer cost-effective complete solutions due to the synergies across our product portfolio.</w:t>
      </w:r>
    </w:p>
    <w:p>
      <w:pPr>
        <w:spacing w:after="0" w:line="1" w:lineRule="exact"/>
        <w:rPr>
          <w:sz w:val="20"/>
          <w:szCs w:val="20"/>
          <w:color w:val="auto"/>
        </w:rPr>
      </w:pPr>
    </w:p>
    <w:p>
      <w:pPr>
        <w:jc w:val="both"/>
        <w:ind w:left="660" w:hanging="328"/>
        <w:spacing w:after="0" w:line="251"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Focus on a portfolio approach to the licensing and sale of our software platform. </w:t>
      </w:r>
      <w:r>
        <w:rPr>
          <w:rFonts w:ascii="Arial" w:cs="Arial" w:eastAsia="Arial" w:hAnsi="Arial"/>
          <w:sz w:val="17"/>
          <w:szCs w:val="17"/>
          <w:color w:val="auto"/>
        </w:rPr>
        <w:t>We seek to differentiate ourselves through the breadth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software and SIP offerings, addressing the full design cycle needs of our customers across applications and industries. In 2022, we began engaging with beta customers on our newly planned software platforms.</w:t>
      </w:r>
    </w:p>
    <w:p>
      <w:pPr>
        <w:jc w:val="both"/>
        <w:ind w:left="660" w:hanging="328"/>
        <w:spacing w:after="0" w:line="251" w:lineRule="auto"/>
        <w:tabs>
          <w:tab w:leader="none" w:pos="669"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Expand our customer base through increased investment in sales and marketing. </w:t>
      </w:r>
      <w:r>
        <w:rPr>
          <w:rFonts w:ascii="Arial" w:cs="Arial" w:eastAsia="Arial" w:hAnsi="Arial"/>
          <w:sz w:val="17"/>
          <w:szCs w:val="17"/>
          <w:color w:val="auto"/>
        </w:rPr>
        <w:t>We believe our serviceable market is under penetrated</w:t>
      </w:r>
      <w:r>
        <w:rPr>
          <w:rFonts w:ascii="Arial" w:cs="Arial" w:eastAsia="Arial" w:hAnsi="Arial"/>
          <w:sz w:val="17"/>
          <w:szCs w:val="17"/>
          <w:i w:val="1"/>
          <w:iCs w:val="1"/>
          <w:color w:val="auto"/>
        </w:rPr>
        <w:t xml:space="preserve"> </w:t>
      </w:r>
      <w:r>
        <w:rPr>
          <w:rFonts w:ascii="Arial" w:cs="Arial" w:eastAsia="Arial" w:hAnsi="Arial"/>
          <w:sz w:val="17"/>
          <w:szCs w:val="17"/>
          <w:color w:val="auto"/>
        </w:rPr>
        <w:t>and that we can expand our customer base by increasing our marketing and sales resources, particularly in growing segments such as automotive and IoT.</w:t>
      </w:r>
    </w:p>
    <w:p>
      <w:pPr>
        <w:spacing w:after="0" w:line="1" w:lineRule="exact"/>
        <w:rPr>
          <w:rFonts w:ascii="Arial" w:cs="Arial" w:eastAsia="Arial" w:hAnsi="Arial"/>
          <w:sz w:val="17"/>
          <w:szCs w:val="17"/>
          <w:color w:val="auto"/>
        </w:rPr>
      </w:pPr>
    </w:p>
    <w:p>
      <w:pPr>
        <w:jc w:val="both"/>
        <w:ind w:left="660" w:hanging="328"/>
        <w:spacing w:after="0" w:line="253" w:lineRule="auto"/>
        <w:tabs>
          <w:tab w:leader="none" w:pos="669"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Establish, maintain and expand relationships with key technology providers and academic partners. </w:t>
      </w:r>
      <w:r>
        <w:rPr>
          <w:rFonts w:ascii="Arial" w:cs="Arial" w:eastAsia="Arial" w:hAnsi="Arial"/>
          <w:sz w:val="17"/>
          <w:szCs w:val="17"/>
          <w:color w:val="auto"/>
        </w:rPr>
        <w:t>We maintain successful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with SIP providers, foundries, design service companies, EDA companies, our commercial customers and academia. These relationships range from seminal technology work with universities to distribution and maintenance of SIP. For example, our master license agreement with the Purdue Research Foundation, or Purdue, allows us to commercialize, make, sell, use, distribute, modify and create derivative works of certain atomistic simulation technologies developed under our strategic alliance agreement with Purdue, and our technology license and distribution agreement with NXP enables us to license, market, promote, distribute and sell certain products and services based on certain NXP SIP technologies, which allows us to better serve our customers’ needs. We plan to continue to expand our ecosystem to maximize our reach, integrate into established flows and offer world-class solutions.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 provider of TCAD software, EDA software and SIP, and also provide general engineering and research support to serve our target markets. Within our TCAD, EDA and SIP product lines, we offer a multitude of products and offerings to efficiently develop new semiconductor processes and devices. By employing our visualization and simulation tools, users are able to “see” inside the device during the production and design phases. Our focus is on the development of flexible software solutions that enable users to analyze electronics and optics designs directly on their desktops, laptops, and servers, providing a common platform for fast, efficient, and cost-conscious product development. This is done from design concept to final stages of verification and validation of design with hand off support to manufacturing.</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regularly developed and delivered updates that provide product enhancements to our customers. We have a demonstrated history and commitment to remaining at the forefront of innovation for semiconductor design optimization, simulation, and modeling software. Below are examples of our products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94615</wp:posOffset>
            </wp:positionV>
            <wp:extent cx="4286250" cy="2537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TCAD Solutions and Products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TCAD software solutions, including our offerings, are used to help reduce the time and manufacturing cycles spent to develop semiconductor technologies and help reduce the costs during development cycles. TCAD is part of a DTCO flow that is intended to improve designs across multiple domains (Layout, Process, Device, SPICE and RC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extraction). A full TCAD to SPICE flow, in an integrated DTCO environment, helps deliver clear actionable results for circuit design optimization.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Typical applications include:</w:t>
      </w:r>
    </w:p>
    <w:p>
      <w:pPr>
        <w:spacing w:after="0" w:line="16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physical etch and deposition process simulation;</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calibration of doping profiles and MOS/bipolar transistors;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modeled effects (including self-heating and thermal gradients for power device and TFT);</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photonics simulation for solar cell, CCD, CIS, TFT, LCD and OLED using ray tracing/FDTD/TMM;</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single event effect and total dose simulation; and</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stress simulation.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offer TCAD modeling services that provide a solution for customers who have unique semiconductor device modeling requirements, but do not have the time or resources to operate TCAD software in-house. Using TCAD modeling services provides access to our expertise in semiconductor physics and TCAD software operation to help provide a complete, fast and accurate solution. TCAD modeling services deliverables include graphical output (plots of structures and behaviors), structures (TCAD device files and meshes) and device characteristics (electrical, thermal and/or photonics). The graphical results can be delivered through results files and one license of our viewer/plotter tool or final result plots printed by us.</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graphic below shows the three classes of TCAD products we provide, namely Process, Device and modeling. Utilizing all three classes of TCAD products enables our design co-optimization solutions for design and fabrication. Further Purdue is noted in our Victory Atomistic product box since we acquired the technology from Purdue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86360</wp:posOffset>
            </wp:positionV>
            <wp:extent cx="5631815" cy="3566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181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EDA Software and Modeling Services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EDA software solutions cover multiple areas of analog/mixed-signal/RF circuit simulation, custom IC CAD and interconnect modeling, including support for CMOS, bipolar, diode, JFET, SOI, TFT, HEMT, IGBT, resistor and capacitor models. We also provide complete SPICE modeling services for the semiconductor industry, ideally suited to either complement in-house SPICE modeling capabilities when time is critical, or to provide complete SPICE modeling services for occasional needs.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graphic below shows our EDA products in the design capture and layout and design simulation and analysis classes and highlights select companies that contributed to our product offerings through our acquisitions. We can address specific customer needs by combining any of the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98425</wp:posOffset>
            </wp:positionV>
            <wp:extent cx="4286250" cy="2425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SIP and EDA Software and Design Services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provide software that optimizes and re-targets standard cell libraries. Automated tools improve productivity by automating standard cell library designs that would otherwise need to be done manually, sometimes by tens of designers. In addition, we provide automated standard cell library characterization tools that replace manual and labor-intensive characterization of standard cells.</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graphic below shows our SIP EDA software and solutions enabling foundries, design houses and allowing integration and utilization of our library characterization tools with SmartSpice or third-party SPICE simulators.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88900</wp:posOffset>
            </wp:positionV>
            <wp:extent cx="4286250" cy="2425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more than 20 years of experience in developing foundational SIPs in process technology nodes from .35um down to 16nm and have delivered more than 50 standard cell libraries and 96 memory compilers. Our full-featured standard cell libraries have demonstrated maximal density and routing performance. The cell schematic used on more complex cells also provides options for high performance or high-density design optimizations. As a standard feature, all industry standard views (CDL netlist, LEF, GDSII, Liberty, PEX Spice netlist, Verilog, VITAL, EDIF and others) are provided from a consistent database.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Standard cell library development and characterization services, either as a fully independent third-party SIP vendor for foundries or as a partner in the development of specialty libraries, are provided for fabless companies. The most common services provided are:</w:t>
      </w:r>
    </w:p>
    <w:p>
      <w:pPr>
        <w:spacing w:after="0" w:line="118"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Complete standard cell library development;</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IP migration to new process;</w:t>
      </w:r>
    </w:p>
    <w:p>
      <w:pPr>
        <w:spacing w:after="0" w:line="7" w:lineRule="exact"/>
        <w:rPr>
          <w:rFonts w:ascii="Arial" w:cs="Arial" w:eastAsia="Arial" w:hAnsi="Arial"/>
          <w:sz w:val="17"/>
          <w:szCs w:val="17"/>
          <w:color w:val="auto"/>
        </w:rPr>
      </w:pPr>
    </w:p>
    <w:p>
      <w:pPr>
        <w:ind w:left="660" w:hanging="328"/>
        <w:spacing w:after="0" w:line="248"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Embedded memory compilers such as SRAM, Read Only Memories, or ROM, and Register files both as services and standard products. Our embedded memories span many process technology nodes optimized for speed, power and area;</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Library characterization services; and</w:t>
      </w:r>
    </w:p>
    <w:p>
      <w:pPr>
        <w:spacing w:after="0" w:line="13" w:lineRule="exact"/>
        <w:rPr>
          <w:rFonts w:ascii="Arial" w:cs="Arial" w:eastAsia="Arial" w:hAnsi="Arial"/>
          <w:sz w:val="17"/>
          <w:szCs w:val="17"/>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purpose and custom I/Os as part of our SIP service to our customers.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SIP Management Tools and SIP</w:t>
      </w:r>
    </w:p>
    <w:p>
      <w:pPr>
        <w:spacing w:after="0" w:line="87"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i w:val="1"/>
          <w:iCs w:val="1"/>
          <w:color w:val="auto"/>
        </w:rPr>
        <w:t xml:space="preserve">SIP and SoC Management Software. </w:t>
      </w:r>
      <w:r>
        <w:rPr>
          <w:rFonts w:ascii="Arial" w:cs="Arial" w:eastAsia="Arial" w:hAnsi="Arial"/>
          <w:sz w:val="17"/>
          <w:szCs w:val="17"/>
          <w:color w:val="auto"/>
        </w:rPr>
        <w:t>Our SIP and SoC Management Software (Xena) helps teams of designers to manage (release, revision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and contracts) and collaborate amongst the internal team, the SIP providers, and customers. Xena also provides the ability for the team to authenticate SIP blocks from various providers and also authenticate and fingerprint the chip that utilize these SIP blocks to verify that the correct SIP is being used in an SoC.</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Silicon-Proven Soft IP Blocks. </w:t>
      </w:r>
      <w:r>
        <w:rPr>
          <w:rFonts w:ascii="Arial" w:cs="Arial" w:eastAsia="Arial" w:hAnsi="Arial"/>
          <w:sz w:val="17"/>
          <w:szCs w:val="17"/>
          <w:color w:val="auto"/>
        </w:rPr>
        <w:t>Our silicon-proven Soft IP blocks are embedded in SoCs and ICs in our targeted markets of automotive, IoT, wireless</w:t>
      </w:r>
      <w:r>
        <w:rPr>
          <w:rFonts w:ascii="Arial" w:cs="Arial" w:eastAsia="Arial" w:hAnsi="Arial"/>
          <w:sz w:val="17"/>
          <w:szCs w:val="17"/>
          <w:i w:val="1"/>
          <w:iCs w:val="1"/>
          <w:color w:val="auto"/>
        </w:rPr>
        <w:t xml:space="preserve"> </w:t>
      </w:r>
      <w:r>
        <w:rPr>
          <w:rFonts w:ascii="Arial" w:cs="Arial" w:eastAsia="Arial" w:hAnsi="Arial"/>
          <w:sz w:val="17"/>
          <w:szCs w:val="17"/>
          <w:color w:val="auto"/>
        </w:rPr>
        <w:t>and High-performance Computing. These SIP blocks are developed internally by our engineers, or in collaboration with our semiconductor partners such as NXP.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graphic below shows the SIP management software encompassing all of the SIP designs used in an SoC.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130175</wp:posOffset>
            </wp:positionV>
            <wp:extent cx="4286250" cy="257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provide end-to-end solutions such as software, design IP, and world-class support to a global and diverse customer base of engineers and researchers in both semiconductor companies and academia. We aim to support our customers’ use of our products to solve semiconductor design challenges spanning the levels of atoms, devices, and systems. Through decades of collaboration with academia, we have created an end-to-end solution for display visualization and simulated stress-testing coupled with an integrated support system and SIP services. With our combined platform, we believe we can attract new customers, retain existing ones, and create upsell opportunities. As of September 30, 2022, we had over 800 customers that relied on our solutions worldwide, of which over 200 are academic institutions.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July 1, 2022, our customers were geographically distributed as follows: 52% in Asia, 24% in the United States., 15% in Europe and 9% in other regions. During 2021, in addition to organic growth within our existing customer base, we added 56 net new customers. During 2020, we added 68 net new customers.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work closely with our customers throughout the semiconductor lifecycle with our solutions, and support offerings to meet their specific and complex needs. We utilize account managers to engage with our customers early in their design-in cycles and collaborate with them throughout the design journey. We rely primarily on direct sales channels across the world and augment our sales efforts with distributors in growth or emerging markets, such as Israel, India and Southeast Asia. To handle the complexities of the industry, we use account managers with specialized knowledge who cover and can speak to all company products. In addition, we rely upon field application engineers for product specialization and sales operations to handle universities and smaller opportunities.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Although the specific terms of our contracts vary from customer to customer, the license agreements are commonly one or three-year commitments. Sales cycles vary depending upon the product and offerings along with the specific needs and complexities of the individual customer. TCAD and EDA opportunities generally have a sales cycle of six to nine months whereas SIP opportunities generally range from three to eight months. Renewal engagement generally starts six to 12 months prior to license expiration.</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sales and marketing teams have international coverage segmented into three distinct regions: the Americas (USA and Brazil), EMEA and APAC (Japan, China, Korea, Taiwan and Singapore). As of July 1, 2022, our sales and marketing team included 29 regional sales representatives positioned across these geographies. As of July 1, 2022, our sales and marketing management team had an average of over 25 years of sales experience.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our future growth and acquisition of new customers depends on our ability to introduce enhancements to our existing products and to develop new products for both existing and new markets. As a result, a material portion of our operating expenses have been allocated towards this effort. Our research and development efforts are focused primarily on TCAD, Analog and Custom Design, Circuit Simulation, and SIP.</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assembled a core team of experienced engineers and systems designers who conduct research and development activities in the United States, EMEA, and Brazil. As of September 30, 2022, we had 175 engineers worldwide, representing approximately 68% of our total employee base, and approximately 73% of our engineers hold advanced degrees in science or engineering.</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currently expanding our research and development efforts, with key updates to our product lines, including Victory Process and Device (TCAD), SmartSpice (Circuit Simulation) UTMOST (Modeling), Viso (parasitics Analysis), Jivaro (parasitics Reduction), Varman (Variation Analysis) and Analog Custom Design, or ACD, including Schematics, Layout, Smart DRC, Smart LVS and Extraction. To support our growth, we intend to continue our investments in research and development.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patents and other legal intellectual property protections are created when we believe we have developed proprietary and unique technologies that may impact our customers’ businesses and help differentiate our products. We utilize patents to provide protection for our developed products, helping maintain product differentiation. Currently, our patent portfolio is focused on SIP (“fingerprinting” and “DNA-analysis”), circuit and standard cell design, generation and optimization, cell libraries with a large number of cells, memory cells and arrays, physical verification, simulation of light emitting diodes, or LED, and other related spaces. Our accomplishments of developing our technology and products, and our ability to compete worldwide, is made possible by our commitment to develop and maintain leadership of our products and to stay current with filings to protect our intellectual property.</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rely on patent, copyright, trademark, and trade secret laws, as well as confidentiality and non-disclosure agreements, other contractual protections, and distribution of software licenses only to protect our technologies and proprietary know-how. As of July 1, 2022, we had 19 issued U.S. patents expiring generally between 2028 and 2039, 2 pending U.S. patent applications, 3 issued foreign patents (including 2 French patents and 1 Taiwanese patent) expiring generally between 2032 and 2036, 1 pending Taiwanese application and 2 pending international Patent Cooperation Treaty patent applications. Our issued patents and pending patent applications generally relate to SIP characterization, standard cells, memory, physical verification and LED simulation. As of July 1, 2022, we have obtained registered U.S. federal trademarks for SILVACO, VIRTUAL WAFER FAB, CORE STORE (Stylized), IPEXTREME (Stylized) and XENA (Stylized).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Within the TCAD software segment, we compete against several other vendors, including Synopsys, and Coventor, Inc., a LAM Research Company. We compete in the industry based on the market segments we serve, technology leadership, product efficiency, ease of integration, ease of use, payment structures, customer support, and time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market. Several factors drive TCAD customers’ buying decisions, and we compete across all customer needs in order to capture a portion of our customers’ budgets. We believe that the market for TCAD software is highly consolidated, with various inorganic growth strategies, such as mergers and acquisitions, partnerships, and collaboration driving this consolidation.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EDA industry is highly competitive. We compete against other EDA vendors and against our customers’ own design tools and internal abilities. We compete in the industry primarily on principles of technology leadership, product quality and efficiency, ease of integration, license terms, payment structures, and customer support. Major players in the EDA sector include Synopsys, Cadence Design Systems, Inc., or Cadence, and Siemens EDA. The industry also features numerous smaller providers of EDA software and services that often focus on specific market niches and phases within the design process.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SIP, we compete with solutions developed internally by our SoC customers, other third-party providers, and other smaller providers. The largest market segments of SIP such as processors and I/O require large development budgets and are dominated by large players such as Arm and Synopsys. In other segments SIP deployment competes mainly against internally developed solutions, and competitors often consist of smaller companies that provide targeted, specific product solutions rather than comprehensive solutions. In the SIP segment, we compete based on PPA, idle power consumption, data movement performance such as frequency, latency, bandwidth, and time to market. Major players in this industry include Arm, Synopsys, Cadence, and CEVA,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NXP</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September 1, 2016, we entered into a Technology License and Distribution Agreement, as amended, or the Agreement, with NXP, whereby we assumed the rights and obligations of IPextreme, Inc., our predecessor to the Agreement. Pursuant to the Agreement, NXP granted us a limited, non-exclusive, non-transferable, worldwide license to use, perform, display, copy, reproduce, modify, adapt, alter, customize, translate or otherwise create derivative works based on certain NXP technology to develop and make licensed designs for our own account, and to market, demonstrate, promote, sell, offer to sell, distribute and otherwise dispose of such licensed designs, directly or indirectly, to our customers. The Agreement was amended on October 18, 2016 to provide for the transfer of certain technical information regarding I3C Controller technology to us. The Agreement was amended again on November 10, 2018 to provide for the transfer of certain technical information regarding the LinFlexD Controller to us, and amended again on March 22, 2022 to provide for the transfer of certain technical information regarding the e200z760 core technology to us. NXP has the right to terminate the Agreement by notifying us in writing if (i) we fail to make a payment within 30 days of the date that payment was due;</w:t>
      </w:r>
    </w:p>
    <w:p>
      <w:pPr>
        <w:spacing w:after="0" w:line="5" w:lineRule="exact"/>
        <w:rPr>
          <w:sz w:val="20"/>
          <w:szCs w:val="20"/>
          <w:color w:val="auto"/>
        </w:rPr>
      </w:pPr>
    </w:p>
    <w:p>
      <w:pPr>
        <w:jc w:val="both"/>
        <w:ind w:firstLine="8"/>
        <w:spacing w:after="0" w:line="254" w:lineRule="auto"/>
        <w:tabs>
          <w:tab w:leader="none" w:pos="238"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are in breach of the Agreement and the breach is not capable of being remedied, such breach, if capable of remedy, is not remedied within 30 days after written notice of such breach, or we are otherwise in default; (iii) one of our creditors take possession of our assets; (iv) a voluntary or involuntary petition in bankruptcy or winding up is filed; (v) any proceeding in insolvency or bankruptcy are instituted against us; (vi) a trustee or receiver is appointed over us; (vii) any assignment is made for the benefit of our creditors; or (viii) we have a change of control (as defined in the Agreement). The Agreement provides that upon termination, all licenses will end, payments owed to NXP will become immediately due and payable, and we will immediately return or destroy all technology and confidential information furnished under the Agreement. The Agreement expires on October 30, 2023 and may be renewed for consecutive two-year periods if mutually agreed by us and NXP.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face increasingly stringent and evolving regulatory challenges. For example, we are subject to anti-corruption, anti-bribery, anti-money laundering, and similar laws in the United States and other countries in which we conduct activities, including the FCPA, the U.S. domestic bribery statute contained in 18 U.S.C. § 201, the U.S. Travel Act, the USA PATRIOT Act, and the United Kingdom Bribery Act 2010, which generally prohibit companies and their employees, agents, intermediaries and other third parties from directly or indirectly promising, authorizing, making or offering improper payments or other benefits to government officials and others in the private sector. Noncompliance with these regulations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We are also subject to governmental export and import controls that could impair our ability to compete in international markets due to licensing requirements and subject us to liability if we are not in compliance with applicable laws. For example,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which may limit our ability to export our software solutions and technology or may require export authorizations and conditions prior to export. We regularly engage with outside experts and review our internal compliance related to such U.S. export controls laws, regulations and sanctions programs and have filed certain voluntary disclosures related to potential violations of such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U.S. export control laws and regulations and sanctions programs. Such voluntary disclosures remain pending and if an enforcement action was brought against us in relation to such potential violations, such actions could result in the imposition of significant penalties against us. Furthermore, because we may process personal data in the ordinary course of our business we are, or may become, subject to numerous data privacy and security obligations, including federal, state, local, and foreign laws, regulations, guidance, and industry standards related to data privacy, security and protection, including, without limitation, the EU GDPR and the UK GDPR, the CCPA and other U.S. state laws. These privacy, security, and protection laws may increase our compliance obligations and exposure for any noncompliance. See the section titled “Risk Factors—Risks Related to Legal, Regulatory, Accounting and Tax Matters</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about the laws and regulations to which we are or may become subject and about the risks to our business associated with such laws and regulations.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2022, we had 257 employees worldwide, including 92 full-time equivalent employees located in the United States, consisting of 52 in research and development, 12 in sales and marketing, 18 in general and administrative, and 10 in operations. We consider relations with our employees to be good and have never experienced a work stoppage. None of our employees are either represented by a labor union or subject to a collective bargaining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principal executive offices are located in a leased facility in Santa Clara, California, consisting of approximately 11,118 square feet of office space under a lease that expires in March 2025. This facility accommodates our principal engineering, sales, marketing, operations, finance, and administrative activities. We also lease offices in Brazil, China, France, Japan, Korea, Singapore, Taiwan, Ukraine, the United Kingdom and Georgia, U.S.A. We believe that our facilities are generally sufficient to meet our current needs and that, if we require additional space, we will be able to obtain additional facilities on commercially reasonable terms.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we may be subject to legal proceedings in the ordinary course of our business. We are not currently a party to any proceedings that we believe will have, individually or in the aggregate, a material adverse effect on our business. Regardless of the outcome, litigation can have an adverse impact on us because of defense and settlement costs, diversion of management resources and other factors. For more information regarding our current legal proceedings, see “Risk Factors—Risks Related to Legal, Regulatory, Accounting and Tax Matters—Pending or future investigations or litigation could have a material adverse effect on our results of operations and our stock price</w:t>
      </w:r>
      <w:r>
        <w:rPr>
          <w:rFonts w:ascii="Arial" w:cs="Arial" w:eastAsia="Arial" w:hAnsi="Arial"/>
          <w:sz w:val="17"/>
          <w:szCs w:val="17"/>
          <w:i w:val="1"/>
          <w:iCs w:val="1"/>
          <w:color w:val="auto"/>
        </w:rPr>
        <w:t>”</w:t>
      </w:r>
      <w:r>
        <w:rPr>
          <w:rFonts w:ascii="Arial" w:cs="Arial" w:eastAsia="Arial" w:hAnsi="Arial"/>
          <w:sz w:val="17"/>
          <w:szCs w:val="17"/>
          <w:color w:val="auto"/>
        </w:rPr>
        <w:t xml:space="preserve"> and Note 12 to our consolidated financial statements appearing elsewhere in this prospectus.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January 25,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Borders>
              <w:top w:val="single" w:sz="8" w:color="auto"/>
            </w:tcBorders>
            <w:gridSpan w:val="2"/>
          </w:tcPr>
          <w:p>
            <w:pPr>
              <w:ind w:left="1720"/>
              <w:spacing w:after="0"/>
              <w:rPr>
                <w:sz w:val="20"/>
                <w:szCs w:val="20"/>
                <w:color w:val="auto"/>
              </w:rPr>
            </w:pPr>
            <w:r>
              <w:rPr>
                <w:rFonts w:ascii="Arial" w:cs="Arial" w:eastAsia="Arial" w:hAnsi="Arial"/>
                <w:sz w:val="14"/>
                <w:szCs w:val="14"/>
                <w:b w:val="1"/>
                <w:bCs w:val="1"/>
                <w:color w:val="auto"/>
              </w:rPr>
              <w:t>Name</w:t>
            </w:r>
          </w:p>
        </w:tc>
        <w:tc>
          <w:tcPr>
            <w:tcW w:w="7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6520" w:type="dxa"/>
            <w:vAlign w:val="bottom"/>
            <w:tcBorders>
              <w:top w:val="single" w:sz="8" w:color="auto"/>
            </w:tcBorders>
          </w:tcPr>
          <w:p>
            <w:pPr>
              <w:ind w:left="298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auto"/>
            </w:tcBorders>
            <w:shd w:val="clear" w:color="auto" w:fill="CCEEFF"/>
          </w:tcPr>
          <w:p>
            <w:pPr>
              <w:spacing w:after="0"/>
              <w:rPr>
                <w:sz w:val="19"/>
                <w:szCs w:val="19"/>
                <w:color w:val="auto"/>
              </w:rPr>
            </w:pP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Dr. Babak A. Taheri</w:t>
            </w:r>
          </w:p>
        </w:tc>
        <w:tc>
          <w:tcPr>
            <w:tcW w:w="680" w:type="dxa"/>
            <w:vAlign w:val="bottom"/>
          </w:tcPr>
          <w:p>
            <w:pPr>
              <w:jc w:val="center"/>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7"/>
                <w:szCs w:val="17"/>
                <w:color w:val="auto"/>
              </w:rPr>
              <w:t>Chief Executive Officer and Director</w:t>
            </w:r>
          </w:p>
        </w:tc>
      </w:tr>
      <w:tr>
        <w:trPr>
          <w:trHeight w:val="23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J. McMullan</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0"/>
                <w:szCs w:val="20"/>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Dr. Raúl Camposano</w:t>
            </w:r>
          </w:p>
        </w:tc>
        <w:tc>
          <w:tcPr>
            <w:tcW w:w="680" w:type="dxa"/>
            <w:vAlign w:val="bottom"/>
          </w:tcPr>
          <w:p>
            <w:pPr>
              <w:jc w:val="center"/>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45"/>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Dr. Eric Guichard</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21"/>
                <w:szCs w:val="21"/>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and General Manager of TCAD</w:t>
            </w: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Non-Employee Directors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Katherine S. Ngai-Pesic</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Chair of the Board and Director</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Dr. Hau L. Lee</w:t>
            </w:r>
          </w:p>
        </w:tc>
        <w:tc>
          <w:tcPr>
            <w:tcW w:w="680" w:type="dxa"/>
            <w:vAlign w:val="bottom"/>
          </w:tcPr>
          <w:p>
            <w:pPr>
              <w:jc w:val="center"/>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7"/>
                <w:szCs w:val="17"/>
                <w:color w:val="auto"/>
              </w:rPr>
              <w:t>Lead Independent Director</w:t>
            </w:r>
          </w:p>
        </w:tc>
      </w:tr>
      <w:tr>
        <w:trPr>
          <w:trHeight w:val="23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H. Molloie, Jr.</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20"/>
                <w:szCs w:val="20"/>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Anthony K. K. Ngai</w:t>
            </w:r>
          </w:p>
        </w:tc>
        <w:tc>
          <w:tcPr>
            <w:tcW w:w="680" w:type="dxa"/>
            <w:vAlign w:val="bottom"/>
          </w:tcPr>
          <w:p>
            <w:pPr>
              <w:jc w:val="center"/>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3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Iliya I. Pesic</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20"/>
                <w:szCs w:val="20"/>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7"/>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Dr. Walden C. Rhines</w:t>
            </w:r>
          </w:p>
        </w:tc>
        <w:tc>
          <w:tcPr>
            <w:tcW w:w="680" w:type="dxa"/>
            <w:vAlign w:val="bottom"/>
          </w:tcPr>
          <w:p>
            <w:pPr>
              <w:jc w:val="center"/>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3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Jodi L. Shelton</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0"/>
                <w:szCs w:val="20"/>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95"/>
        </w:trPr>
        <w:tc>
          <w:tcPr>
            <w:tcW w:w="3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520" w:type="dxa"/>
            <w:vAlign w:val="bottom"/>
            <w:tcBorders>
              <w:bottom w:val="single" w:sz="8" w:color="auto"/>
            </w:tcBorders>
          </w:tcPr>
          <w:p>
            <w:pPr>
              <w:spacing w:after="0"/>
              <w:rPr>
                <w:sz w:val="8"/>
                <w:szCs w:val="8"/>
                <w:color w:val="auto"/>
              </w:rPr>
            </w:pPr>
          </w:p>
        </w:tc>
      </w:tr>
    </w:tbl>
    <w:p>
      <w:pPr>
        <w:spacing w:after="0" w:line="8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Babak A. Taheri, Ph.D</w:t>
      </w:r>
      <w:r>
        <w:rPr>
          <w:rFonts w:ascii="Arial" w:cs="Arial" w:eastAsia="Arial" w:hAnsi="Arial"/>
          <w:sz w:val="17"/>
          <w:szCs w:val="17"/>
          <w:color w:val="auto"/>
        </w:rPr>
        <w:t>., has served as our Chief Executive Officer and member of our board of directors from August 2019 to September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November 2021 to present. From October 2018 to August 2019, Dr. Taheri served as our Chief Technology Officer and Executive Vice President of Products. Prior to joining Silvaco, Dr. Taheri served as Chief Executive Officer and President of Integrated Biosensing Technologies (IBT), an advisory and consulting firm, from May 2015 to October 2018. Dr. Taheri has also served on various advisory boards, including MEMS World Summit, a conference for MEMS manufacturers, equipment and material suppliers and research institutes, Novasentis, Inc., an electromechanical polymer technology development company, and as the advisory board chair of the electrical engineering department at the University of California, Davis. Dr. Taheri also served on the board of directors of Parisi House on The Hill, a residential alcohol and drug non-profit, from June 2021 to May 2022. Dr. Taheri received a B.S. in engineering from San Francisco State University, a M.S. in electrical engineering from San Jose State University and a Ph.D. in biomedical engineering from the University of California, Davis. We believe that Dr. Taheri is qualified to serve on our board of directors due to his experience in the semiconductor and technology industries and extensive leadership, board of director experience, and management experience, including his experience serving as our Chief Executive Officer.</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Robert J. McMullan </w:t>
      </w:r>
      <w:r>
        <w:rPr>
          <w:rFonts w:ascii="Arial" w:cs="Arial" w:eastAsia="Arial" w:hAnsi="Arial"/>
          <w:sz w:val="17"/>
          <w:szCs w:val="17"/>
          <w:color w:val="auto"/>
        </w:rPr>
        <w:t>has served as our Chief Financial Officer since February 2022. Prior to joining Silvaco, Mr. McMullan served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PharmScript LLC, a pharmacy services company, from September 2019 to March 2021. From January 2014 to June 2019, Mr. McMullan served as Senior Vice President and Chief Financial Officer of MACOM Technology Solutions Holdings, Inc. (Nasdaq: MTSI), a semiconductor designer and manufacturing company, or MACOM. Throughout his career, Mr. McMullan has served in several chief financial officer and chief executive officer roles at various semiconductor companies and other IT service businesses. Mr. McMullan received a B.A. in business administration from Saint Michael’s College.</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Raúl Camposano, Ph.D</w:t>
      </w:r>
      <w:r>
        <w:rPr>
          <w:rFonts w:ascii="Arial" w:cs="Arial" w:eastAsia="Arial" w:hAnsi="Arial"/>
          <w:sz w:val="17"/>
          <w:szCs w:val="17"/>
          <w:color w:val="auto"/>
        </w:rPr>
        <w:t>., has served as our Chief Technology Officer since February 2022. Dr. Camposano has served as a partner at Silicon</w:t>
      </w:r>
      <w:r>
        <w:rPr>
          <w:rFonts w:ascii="Arial" w:cs="Arial" w:eastAsia="Arial" w:hAnsi="Arial"/>
          <w:sz w:val="17"/>
          <w:szCs w:val="17"/>
          <w:i w:val="1"/>
          <w:iCs w:val="1"/>
          <w:color w:val="auto"/>
        </w:rPr>
        <w:t xml:space="preserve"> </w:t>
      </w:r>
      <w:r>
        <w:rPr>
          <w:rFonts w:ascii="Arial" w:cs="Arial" w:eastAsia="Arial" w:hAnsi="Arial"/>
          <w:sz w:val="17"/>
          <w:szCs w:val="17"/>
          <w:color w:val="auto"/>
        </w:rPr>
        <w:t>Catalyst LLC, an incubator for semiconductor solutions, since April 2015 and as a lecturer on EDA and Machine Learning Hardware at Stanford since April 2018. From July 2020 to January 2022, Dr. Camposano served as an advisor to Applied Materials, Inc. (Nasdaq: AMAT), a semiconductor equipment company, or Applied Materials. From August 2015 to July 2020, Dr. Camposano served as Chief Executive Officer of Sage Design Automation, Ltd., a software tools company acquired by Applied Materials in 2020. From November 2010 to May 2014, Dr. Camposano served as Chief Executive Officer of Nimbic, Inc., an EDA cloud company, acquired by Mentor Graphics Corporation in 2014. From January 1994 to January 2007, Dr. Camposano served in various roles at Synopsys (Nasdaq: SNPS), an EDA solutions company, including as its Chief Technology Officer, Senior Vice President, and General Manager. Prior to that, Dr. Camposano served on the board of directors of the German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National Research Center for Computer Science, as a professor of computer science at the University of Paderborn, and as a Research Staff Member at the IBM T.J. Watson Research Center. Dr. Camposano received a B.S. and M.S. in electrical engineering from Universidad de Chile and a Ph.D. in computer science from Karlsruhe Institute of Technology. Dr. Camposano was elected as a Fellow of the IEEE in 1999 and to serve on the board of directors of ESDA, the EDA Consortium, in 2012.</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Eric Guichard, Ph.D.</w:t>
      </w:r>
      <w:r>
        <w:rPr>
          <w:rFonts w:ascii="Arial" w:cs="Arial" w:eastAsia="Arial" w:hAnsi="Arial"/>
          <w:sz w:val="17"/>
          <w:szCs w:val="17"/>
          <w:color w:val="auto"/>
        </w:rPr>
        <w:t>, has served as our Senior Vice President and General Manager of our TCAD division since November 2012, and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Applications from July 2008 to November 2012. From September 1995 to July 2008, Dr. Guichard served in various roles with Silvaco SA, formerly known as Silvaco Data Systems, one of our wholly-owned subsidiaries, including as an applications engineer. Dr. Guichard received a M.S. in material science and a Ph.D. in semiconductor physics from Instituto Politécnico Nacional de Grenoble, France.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Katherine S. Ngai-Pesic </w:t>
      </w:r>
      <w:r>
        <w:rPr>
          <w:rFonts w:ascii="Arial" w:cs="Arial" w:eastAsia="Arial" w:hAnsi="Arial"/>
          <w:sz w:val="17"/>
          <w:szCs w:val="17"/>
          <w:color w:val="auto"/>
        </w:rPr>
        <w:t>co-founded Silvaco in 1984 and is our controlling stockholder. Ms. Ngai-Pesic has served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November 2012 and as chair of our board of directors since December 2021. Ms. Ngai-Pesic has also served as a member of our compensation committee since May 2021 and as chair of our compensation committee from December 2021 to September 2022, as chair of our nominating and corporate governance committee from May 2021 to December 2021 and as a member of our nominating and corporate governance committee since December 2021 and as a member of our audit committee from May 2021 to September 2022. In addition, Ms. Ngai-Pesic founded Kipee in March 2001 and has served as its President since inception and founded the Lee Ho Yee Foundation in April 2021 and has served as chair of its board of directors since inception. Mrs. Ngai-Pesic has served as president of the Marriott Business Center HOA Association since October 2012. Ms. Ngai-Pesic also has an endowed associate professorship at Purdue University’s Department of Electrical &amp; Computer Engineering. Ms. Ngai-Pesic received a B.S. in chemistry and an M.S. in electrical engineering from Santa Clara University. We believe that Ms. Ngai-Pesic is qualified to serve on our board of directors due to her over 30 years of experience in the semiconductor industry and extensive leadership and management experience.</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Hau L. Lee, Ph.D., </w:t>
      </w:r>
      <w:r>
        <w:rPr>
          <w:rFonts w:ascii="Arial" w:cs="Arial" w:eastAsia="Arial" w:hAnsi="Arial"/>
          <w:sz w:val="17"/>
          <w:szCs w:val="17"/>
          <w:color w:val="auto"/>
        </w:rPr>
        <w:t>has served as a member of our board of directors, as our lead independent director and as a member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since September 2022. Since September 2002, Dr. Lee has served as an Operations, Information and Technology Professor at the Graduate School of Business at Stanford University, where he has been a professor since 1983. Since February 2012, Dr. Lee has also served on the board of directors of TD SYNNEX Corporation (NYSE: SNX), a distributor and solutions aggregator for the IT ecosystem. Since April 2013, Dr. Lee has served as a member of the board of directors and on the audit and compensation committees of Lion Rock Group Limited (HKG: 1127). In addition, from March 2014 to July 2020, Dr. Lee served as a member of the board of directors and on the compensation committee of Frontier Services Group (HKG: 0500), a Chinese Africa-focused security, aviation, and logistics company. From June 2014 to September 2020, he served as a member of the board directors and on the compensation committee of Global Brands Group (SEHK: 787), a bankruptcy holding and brand management company, and from February 2019 to September 2022, Dr. Lee served as a member of the board of directors and on the compensation committee of LF Logistics, a logistics solution company. In November 1999, Dr. Lee co-founded DemandTec, Inc., a retail pricing technology company. Dr. Lee received a B.Soc.Sc. degree in Economics and Statistics from the University of Hong Kong, an M.Sc. degree in operational research from the London School of Economics and an M.S. and Ph.D in operations research from the Wharton School of the University of Pennsylvania. We believe that Dr. Lee is qualified to serve on our board of directors due to his extensive experience in the semiconductor industry and extensive leadership experience.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William H. Molloie, Jr. </w:t>
      </w:r>
      <w:r>
        <w:rPr>
          <w:rFonts w:ascii="Arial" w:cs="Arial" w:eastAsia="Arial" w:hAnsi="Arial"/>
          <w:sz w:val="17"/>
          <w:szCs w:val="17"/>
          <w:color w:val="auto"/>
        </w:rPr>
        <w:t>has served as a member of our board of directors and as chair of our audit committee since May 2022. Since March 2021, Mr.</w:t>
      </w:r>
      <w:r>
        <w:rPr>
          <w:rFonts w:ascii="Arial" w:cs="Arial" w:eastAsia="Arial" w:hAnsi="Arial"/>
          <w:sz w:val="17"/>
          <w:szCs w:val="17"/>
          <w:i w:val="1"/>
          <w:iCs w:val="1"/>
          <w:color w:val="auto"/>
        </w:rPr>
        <w:t xml:space="preserve"> </w:t>
      </w:r>
      <w:r>
        <w:rPr>
          <w:rFonts w:ascii="Arial" w:cs="Arial" w:eastAsia="Arial" w:hAnsi="Arial"/>
          <w:sz w:val="17"/>
          <w:szCs w:val="17"/>
          <w:color w:val="auto"/>
        </w:rPr>
        <w:t>Molloie has been a lecturer at the University of California, San Diego Rady School of Management. In July 1986, Mr. Molloie joined PricewaterhouseCoopers, a public accounting firm, and served as an assurance partner from October 1997 to June 2020. Since June 2021, Mr. Molloie has served on the board of directors of WinSanTor Inc., a private clinical-stage biotechnology company, and has served as a member of its compensation committee since April 2022. Mr. Molloie received a B.A. in accounting and finance from Temple University. We believe that Mr. Molloie is qualified to serve on our board of directors due to his financial expertise and his extensive leadership experience in the technology industry.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Anthony K. K. Ngai </w:t>
      </w:r>
      <w:r>
        <w:rPr>
          <w:rFonts w:ascii="Arial" w:cs="Arial" w:eastAsia="Arial" w:hAnsi="Arial"/>
          <w:sz w:val="17"/>
          <w:szCs w:val="17"/>
          <w:color w:val="auto"/>
        </w:rPr>
        <w:t>has served as a member of our board of directors since October 2018 and as a member of our nominating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compensation and audit committees since May 2021. Mr. Ngai has also served as chair of our nominating and corporate governance committee since September 2022 and as chair of our audit committee from November 2021 to April 2022. Since June 2022, Mr. Ngai has served as the Chief Financial Officer of Unience.io, a technology company based in Hong Kong that develops blockchain and Web3 applications and community. From September 2020 to June 2022, Mr. Ngai served as a Partner of Gravity Capital Partners Co. and the Responsible Officer of Avanta Investment Management, an asset management company. Prior to that, Mr. Ngai served as the Head of Credit Trading at J.P. Morgan Asia Pacific, a global financial services firm, from June 2004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 September 2018. In November 2018, Mr. Ngai co-founded JUST FEEL, a nonprofit charity focused on mental health in education. Since July 2020, Mr. Ngai served on the Board of Trustees of the Chinese University of Hong Kong, Chung Chi College. Mr. Ngai received a B.S. in quantitative finance from The Chinese University of Hong Kong and is a graduate of the Program for Management Development from Harvard Business School. We believe that Mr. Ngai is qualified to serve on our board of directors due to his financial expertise and extensive leadership and management experience.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Iliya I. Pesic </w:t>
      </w:r>
      <w:r>
        <w:rPr>
          <w:rFonts w:ascii="Arial" w:cs="Arial" w:eastAsia="Arial" w:hAnsi="Arial"/>
          <w:sz w:val="17"/>
          <w:szCs w:val="17"/>
          <w:color w:val="auto"/>
        </w:rPr>
        <w:t>has served as a member of our board of directors since November 2012. Mr. Pesic served as chair of our board of directors from</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2012 to September 2014 and as executive chair of our board of directors from September 2014 to April 2021. Since May 2021, Mr. Pesic has also served on our compensation committee, nominating and corporate governance committee and audit committee. Mr. Pesic also served as chair of our nominating and corporate governance committee from December 2021 to September 2022 and as chair of our compensation committee from April 2021 until December 2021. Mr. Pesic is presently an advisor to us. Mr. Pesic holds a B.S. in electrical engineering from Santa Clara University and an M.S. in electronic engineering from Tohoku University in Japan. We believe that Mr. Pesic is qualified to serve on our board of directors due to his extensive knowledge of and experience in the semiconductor industry.</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222222"/>
        </w:rPr>
        <w:t xml:space="preserve">Walden C. Rhines, Ph.D., </w:t>
      </w:r>
      <w:r>
        <w:rPr>
          <w:rFonts w:ascii="Arial" w:cs="Arial" w:eastAsia="Arial" w:hAnsi="Arial"/>
          <w:sz w:val="17"/>
          <w:szCs w:val="17"/>
          <w:color w:val="222222"/>
        </w:rPr>
        <w:t>has served as a member of our board of directors and as a member of our audit committee since September 2022. Since</w:t>
      </w:r>
      <w:r>
        <w:rPr>
          <w:rFonts w:ascii="Arial" w:cs="Arial" w:eastAsia="Arial" w:hAnsi="Arial"/>
          <w:sz w:val="17"/>
          <w:szCs w:val="17"/>
          <w:i w:val="1"/>
          <w:iCs w:val="1"/>
          <w:color w:val="222222"/>
        </w:rPr>
        <w:t xml:space="preserve"> </w:t>
      </w:r>
      <w:r>
        <w:rPr>
          <w:rFonts w:ascii="Arial" w:cs="Arial" w:eastAsia="Arial" w:hAnsi="Arial"/>
          <w:sz w:val="17"/>
          <w:szCs w:val="17"/>
          <w:color w:val="222222"/>
        </w:rPr>
        <w:t>March 2020, Dr. Rhines has served as President and Chief Executive Officer of Cornami, Inc., a fabless semiconductor company. Dr. Rhines has also served as a member of the board of directors and as chair of the compensation committee of Qorvo, Inc. (Nasdaq: QRVO), a semiconductor company, since January 2015. He served as a member of the board of directors of PTK Acquisition Corp. (NYSE: PTK), a special purpose acquisition company from July 2020 until September 2021 and served on its audit, nominating and compensation committees. From October 1993 to March 2017, Dr. Rhines served as President and Chief Executive Officer of Mentor Graphics Corporation, an EDA company, and chairman of its board of directors from 2000 until its acquisition by Siemens in March 2017, pursuant to which the company was renamed Mentor Graphics, a Siemens Business. Following the acquisition, Dr. Rhines served as President and Chief Executive Officer of Siemens EDA (formerly Mentor Graphics, a Siemens Business), from March 2017 to October 2018, after which he served as its Chief Executive Officer Emeritus until September 2020. Dr. Rhines received a B.S.E. in metallurgical engineering from the University of Michigan, an M.S. and Ph.D. in materials science and engineering from Stanford University, and a M.B.A. from the Southern Methodist University, Cox School of Business. We believe that Dr. Rhines is qualified to serve on our board of directors due to his experience in the semiconductor and EDA industries, extensive leadership and management experience in technology-based corporations, and experience on public company boards.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Jodi L. Shelton </w:t>
      </w:r>
      <w:r>
        <w:rPr>
          <w:rFonts w:ascii="Arial" w:cs="Arial" w:eastAsia="Arial" w:hAnsi="Arial"/>
          <w:sz w:val="17"/>
          <w:szCs w:val="17"/>
          <w:color w:val="auto"/>
        </w:rPr>
        <w:t>has served as a member of our board of directors and as a member of our nominating and corporate governance committee since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September 2022. Ms. Shelton co-founded Global Semiconductor Alliance, a leading semiconductor industry organization, in June 1994 and has served as its Chief Executive Officer since June 1994. Ms. Shelton also co-founded Shelton Group, a strategic investor relations firm in February 1994 and has served as its chair since February 1994. Since March 2021, Ms. Shelton has also served on the board of directors and as a member of the audit and compensation committees of LF Capital Acquisition Corp (Nasdaq: LFAC), a </w:t>
      </w:r>
      <w:r>
        <w:rPr>
          <w:rFonts w:ascii="Arial" w:cs="Arial" w:eastAsia="Arial" w:hAnsi="Arial"/>
          <w:sz w:val="17"/>
          <w:szCs w:val="17"/>
          <w:color w:val="222222"/>
        </w:rPr>
        <w:t>special purpose acquisition</w:t>
      </w:r>
      <w:r>
        <w:rPr>
          <w:rFonts w:ascii="Arial" w:cs="Arial" w:eastAsia="Arial" w:hAnsi="Arial"/>
          <w:sz w:val="17"/>
          <w:szCs w:val="17"/>
          <w:color w:val="auto"/>
        </w:rPr>
        <w:t xml:space="preserve"> company. Ms. Shelton received a B.S. in political science from San Diego State University and an M.S. in political science from University of Houston. We believe that Ms. Shelton is qualified to serve on our board of directors due to her extensive experience in the semiconductor industry and her experience on various boards.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Familial Relationships</w:t>
      </w:r>
    </w:p>
    <w:p>
      <w:pPr>
        <w:spacing w:after="0" w:line="87"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Ms. Ngai-Pesic is the mother of Iliya I. Pesic and aunt of Anthony K. K. Ngai. Ms. Ngai-Pesic, Mr. Pesic, and Mr. Ngai are members of our board of directors. Anthony K. K. Ngai and Iliya I. Pesic are first cousins.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nine members. Ms. Ngai-Pesic serves as chair and Dr. Hau L. Lee serves as our lead independent director of our board of directors. The primary responsibilities of our board of directors are to provide oversight, strategic guidance, counseling, and direction to our management. Our board of directors meets on a regular basis and additionally as required.</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accordance with the terms of our amended and restated charter, which will become effective as of immediately prior to the completion of this offering, our board of directors will be divided into three classes, Class I, Class II, and Class III, with members of each class serving staggered three-year terms.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Effective upon completion of this offering, our board of directors will be divided into the following classes:</w:t>
      </w:r>
    </w:p>
    <w:p>
      <w:pPr>
        <w:sectPr>
          <w:pgSz w:w="11900" w:h="16838" w:orient="portrait"/>
          <w:cols w:equalWidth="0" w:num="1">
            <w:col w:w="11240"/>
          </w:cols>
          <w:pgMar w:left="320" w:top="125" w:right="339" w:bottom="1440" w:gutter="0" w:footer="0" w:header="0"/>
        </w:sectPr>
      </w:pPr>
    </w:p>
    <w:p>
      <w:pPr>
        <w:spacing w:after="0" w:line="183" w:lineRule="exact"/>
        <w:rPr>
          <w:sz w:val="20"/>
          <w:szCs w:val="20"/>
          <w:color w:val="auto"/>
        </w:rPr>
      </w:pPr>
    </w:p>
    <w:p>
      <w:pPr>
        <w:ind w:left="340"/>
        <w:spacing w:after="0"/>
        <w:tabs>
          <w:tab w:leader="none" w:pos="640" w:val="left"/>
          <w:tab w:leader="none" w:pos="3500" w:val="left"/>
        </w:tabs>
        <w:rPr>
          <w:sz w:val="20"/>
          <w:szCs w:val="20"/>
          <w:color w:val="auto"/>
        </w:rPr>
      </w:pPr>
      <w:r>
        <w:rPr>
          <w:rFonts w:ascii="Arial" w:cs="Arial" w:eastAsia="Arial" w:hAnsi="Arial"/>
          <w:sz w:val="17"/>
          <w:szCs w:val="17"/>
          <w:color w:val="auto"/>
        </w:rPr>
        <w:t>■</w:t>
        <w:tab/>
        <w:t>Class I, which will consist of</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the completion of this offering;</w:t>
      </w:r>
    </w:p>
    <w:p>
      <w:pPr>
        <w:spacing w:after="0" w:line="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7"/>
          <w:szCs w:val="17"/>
          <w:color w:val="auto"/>
        </w:rPr>
        <w:t>■</w:t>
        <w:tab/>
        <w:t>Class II, which will consist 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the completion of this offering; and</w:t>
      </w:r>
    </w:p>
    <w:p>
      <w:pPr>
        <w:spacing w:after="0" w:line="7" w:lineRule="exact"/>
        <w:rPr>
          <w:sz w:val="20"/>
          <w:szCs w:val="20"/>
          <w:color w:val="auto"/>
        </w:rPr>
      </w:pPr>
    </w:p>
    <w:p>
      <w:pPr>
        <w:ind w:left="340"/>
        <w:spacing w:after="0"/>
        <w:tabs>
          <w:tab w:leader="none" w:pos="640" w:val="left"/>
          <w:tab w:leader="none" w:pos="3580" w:val="left"/>
        </w:tabs>
        <w:rPr>
          <w:sz w:val="20"/>
          <w:szCs w:val="20"/>
          <w:color w:val="auto"/>
        </w:rPr>
      </w:pPr>
      <w:r>
        <w:rPr>
          <w:rFonts w:ascii="Arial" w:cs="Arial" w:eastAsia="Arial" w:hAnsi="Arial"/>
          <w:sz w:val="17"/>
          <w:szCs w:val="17"/>
          <w:color w:val="auto"/>
        </w:rPr>
        <w:t>■</w:t>
        <w:tab/>
        <w:t>Class III, which will consist of</w:t>
      </w:r>
      <w:r>
        <w:rPr>
          <w:sz w:val="20"/>
          <w:szCs w:val="20"/>
          <w:color w:val="auto"/>
        </w:rPr>
        <w:tab/>
      </w:r>
      <w:r>
        <w:rPr>
          <w:rFonts w:ascii="Arial" w:cs="Arial" w:eastAsia="Arial" w:hAnsi="Arial"/>
          <w:sz w:val="16"/>
          <w:szCs w:val="16"/>
          <w:color w:val="auto"/>
        </w:rPr>
        <w:t>and</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completion of this offering.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whose terms will expire at our first annual meeting of stockholders to be held</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whose terms will expire at our second annual meeting of stockholders to be held</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whose terms will expire at our third annual meeting of stockholders to be held after the</w:t>
      </w:r>
    </w:p>
    <w:p>
      <w:pPr>
        <w:spacing w:after="0" w:line="385" w:lineRule="exact"/>
        <w:rPr>
          <w:sz w:val="20"/>
          <w:szCs w:val="20"/>
          <w:color w:val="auto"/>
        </w:rPr>
      </w:pPr>
    </w:p>
    <w:p>
      <w:pPr>
        <w:sectPr>
          <w:pgSz w:w="11900" w:h="16838" w:orient="portrait"/>
          <w:cols w:equalWidth="0" w:num="2">
            <w:col w:w="3880" w:space="260"/>
            <w:col w:w="7100"/>
          </w:cols>
          <w:pgMar w:left="320" w:top="125" w:right="339" w:bottom="1440" w:gutter="0" w:footer="0" w:header="0"/>
          <w:type w:val="continuous"/>
        </w:sectPr>
      </w:pPr>
    </w:p>
    <w:p>
      <w:pPr>
        <w:jc w:val="both"/>
        <w:spacing w:after="0" w:line="266"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 Our directors may be removed for cause by the affirmative vote of the holders of at least two-thirds (2/3) of our voting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board of directors has adopted corporate governance guidelines that provide that the board of directors shall appoint an independent director to serve as our lead independent director for so long as we have a non-independent chair. Our board of directors has appointed Dr. Hau L. Lee to serve as our lead independent director. As lead independent director, Dr. Lee will have primary responsibilities to preside over all meetings at which the chair is not present, and serve as a liaison between the chair and the independent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 Exemption</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intend to apply to have our common stock listed on Nasdaq. Under the rules of Nasdaq, a director will only qualify as an “independent director” if that company’s board of directors affirmatively determines that such person does not have a relationship with our company that would interfere with the exercise of independent judgment in carrying out the responsibilities of a director.</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Prior to the closing of this offering, our board of directors undertook a review of the independence of our directors and considered whether any director has a material relationship with us that could compromise that director’s ability to exercise independent judgment in carrying out that director’s responsibilities. Based upon information requested from and provided by each director concerning his or her background, employment and affiliations, including family relationships, our board of directors has determined that none of Dr. Hau L. Lee, William H. Molloie, Jr., Anthony K. K. Ngai, Dr. Walden C. Rhines and Jodi L. Shelton, representing five of our eight total directors, has a relationship that would interfere with the exercise of independent judgment in carrying out the responsibilities of a director and that each of these directors is “independent” as that term is defined under Nasdaq’s rules. In making these determinations, our board of directors considered the current and prior relationships that each director has with our company and all other facts and circumstances our board of directors deemed relevant in determining their independence, including their beneficial ownership of our capital stock and relationships with certain of our significant stockholders, and the transactions involving them described in the section titled “Certain Relationships and Related Party Transactions.”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Immediately upon completion of this offering, we will be a “controlled company” within the meaning of the Nasdaq listings rules. As a result, we qualify for exemptions from certain corporate governance requirements under the rules, including the requirements that within one year of the completion of this offering, we have a board, a compensation committee and a nominating and corporate governance committee that is each composed entirely of independent directors. We intend to make use of these corporate governance requirement exemptions. In addition, we will be subject to the rules of the SEC and Nasdaq relating to the membership, qualifications, and operations of the audit committee (as discussed below), which requires that the audit committee be comprised of at least three members composed entirely of independent directors as of the first anniversary of this offering.</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rules of Nasdaq define a “controlled company” as a company of which more than 50% of the voting power for the election of directors is held by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gridSpan w:val="5"/>
          </w:tcPr>
          <w:p>
            <w:pPr>
              <w:spacing w:after="0"/>
              <w:rPr>
                <w:sz w:val="20"/>
                <w:szCs w:val="20"/>
                <w:color w:val="auto"/>
              </w:rPr>
            </w:pPr>
            <w:r>
              <w:rPr>
                <w:rFonts w:ascii="Arial" w:cs="Arial" w:eastAsia="Arial" w:hAnsi="Arial"/>
                <w:sz w:val="17"/>
                <w:szCs w:val="17"/>
                <w:color w:val="auto"/>
              </w:rPr>
              <w:t>an individual, a group or another company. Upon completion of this offering, Ms. Ngai-Pesic will own approximately</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 of our outstanding</w:t>
            </w:r>
          </w:p>
        </w:tc>
      </w:tr>
      <w:tr>
        <w:trPr>
          <w:trHeight w:val="203"/>
        </w:trPr>
        <w:tc>
          <w:tcPr>
            <w:tcW w:w="2600" w:type="dxa"/>
            <w:vAlign w:val="bottom"/>
            <w:gridSpan w:val="2"/>
          </w:tcPr>
          <w:p>
            <w:pPr>
              <w:spacing w:after="0"/>
              <w:rPr>
                <w:sz w:val="20"/>
                <w:szCs w:val="20"/>
                <w:color w:val="auto"/>
              </w:rPr>
            </w:pPr>
            <w:r>
              <w:rPr>
                <w:rFonts w:ascii="Arial" w:cs="Arial" w:eastAsia="Arial" w:hAnsi="Arial"/>
                <w:sz w:val="17"/>
                <w:szCs w:val="17"/>
                <w:color w:val="auto"/>
              </w:rPr>
              <w:t>common stock (approximately</w:t>
            </w:r>
          </w:p>
        </w:tc>
        <w:tc>
          <w:tcPr>
            <w:tcW w:w="7640" w:type="dxa"/>
            <w:vAlign w:val="bottom"/>
            <w:gridSpan w:val="4"/>
          </w:tcPr>
          <w:p>
            <w:pPr>
              <w:ind w:left="300"/>
              <w:spacing w:after="0"/>
              <w:rPr>
                <w:sz w:val="20"/>
                <w:szCs w:val="20"/>
                <w:color w:val="auto"/>
              </w:rPr>
            </w:pPr>
            <w:r>
              <w:rPr>
                <w:rFonts w:ascii="Arial" w:cs="Arial" w:eastAsia="Arial" w:hAnsi="Arial"/>
                <w:sz w:val="17"/>
                <w:szCs w:val="17"/>
                <w:color w:val="auto"/>
              </w:rPr>
              <w:t>% if the underwriters exercise their option to purchase additional shares in full), representing</w:t>
            </w:r>
          </w:p>
        </w:tc>
        <w:tc>
          <w:tcPr>
            <w:tcW w:w="1000" w:type="dxa"/>
            <w:vAlign w:val="bottom"/>
          </w:tcPr>
          <w:p>
            <w:pPr>
              <w:jc w:val="right"/>
              <w:spacing w:after="0"/>
              <w:rPr>
                <w:sz w:val="20"/>
                <w:szCs w:val="20"/>
                <w:color w:val="auto"/>
              </w:rPr>
            </w:pPr>
            <w:r>
              <w:rPr>
                <w:rFonts w:ascii="Arial" w:cs="Arial" w:eastAsia="Arial" w:hAnsi="Arial"/>
                <w:sz w:val="17"/>
                <w:szCs w:val="17"/>
                <w:color w:val="auto"/>
              </w:rPr>
              <w:t>% of the</w:t>
            </w:r>
          </w:p>
        </w:tc>
      </w:tr>
      <w:tr>
        <w:trPr>
          <w:trHeight w:val="203"/>
        </w:trPr>
        <w:tc>
          <w:tcPr>
            <w:tcW w:w="5320" w:type="dxa"/>
            <w:vAlign w:val="bottom"/>
            <w:gridSpan w:val="4"/>
          </w:tcPr>
          <w:p>
            <w:pPr>
              <w:spacing w:after="0"/>
              <w:rPr>
                <w:sz w:val="20"/>
                <w:szCs w:val="20"/>
                <w:color w:val="auto"/>
              </w:rPr>
            </w:pPr>
            <w:r>
              <w:rPr>
                <w:rFonts w:ascii="Arial" w:cs="Arial" w:eastAsia="Arial" w:hAnsi="Arial"/>
                <w:sz w:val="17"/>
                <w:szCs w:val="17"/>
                <w:color w:val="auto"/>
              </w:rPr>
              <w:t>voting power of the outstanding common stock (approximately</w:t>
            </w:r>
          </w:p>
        </w:tc>
        <w:tc>
          <w:tcPr>
            <w:tcW w:w="5920" w:type="dxa"/>
            <w:vAlign w:val="bottom"/>
            <w:gridSpan w:val="3"/>
          </w:tcPr>
          <w:p>
            <w:pPr>
              <w:jc w:val="right"/>
              <w:spacing w:after="0"/>
              <w:rPr>
                <w:sz w:val="20"/>
                <w:szCs w:val="20"/>
                <w:color w:val="auto"/>
              </w:rPr>
            </w:pPr>
            <w:r>
              <w:rPr>
                <w:rFonts w:ascii="Arial" w:cs="Arial" w:eastAsia="Arial" w:hAnsi="Arial"/>
                <w:sz w:val="17"/>
                <w:szCs w:val="17"/>
                <w:color w:val="auto"/>
              </w:rPr>
              <w:t>% if the underwriters exercise their option to purchase additional shares in</w:t>
            </w:r>
          </w:p>
        </w:tc>
      </w:tr>
      <w:tr>
        <w:trPr>
          <w:trHeight w:val="203"/>
        </w:trPr>
        <w:tc>
          <w:tcPr>
            <w:tcW w:w="4020" w:type="dxa"/>
            <w:vAlign w:val="bottom"/>
            <w:gridSpan w:val="3"/>
          </w:tcPr>
          <w:p>
            <w:pPr>
              <w:spacing w:after="0"/>
              <w:rPr>
                <w:sz w:val="20"/>
                <w:szCs w:val="20"/>
                <w:color w:val="auto"/>
              </w:rPr>
            </w:pPr>
            <w:r>
              <w:rPr>
                <w:rFonts w:ascii="Arial" w:cs="Arial" w:eastAsia="Arial" w:hAnsi="Arial"/>
                <w:sz w:val="17"/>
                <w:szCs w:val="17"/>
                <w:color w:val="auto"/>
              </w:rPr>
              <w:t>full), and the SMIK Trust will own approximately</w:t>
            </w:r>
          </w:p>
        </w:tc>
        <w:tc>
          <w:tcPr>
            <w:tcW w:w="4920" w:type="dxa"/>
            <w:vAlign w:val="bottom"/>
            <w:gridSpan w:val="2"/>
          </w:tcPr>
          <w:p>
            <w:pPr>
              <w:ind w:left="360"/>
              <w:spacing w:after="0"/>
              <w:rPr>
                <w:sz w:val="20"/>
                <w:szCs w:val="20"/>
                <w:color w:val="auto"/>
              </w:rPr>
            </w:pPr>
            <w:r>
              <w:rPr>
                <w:rFonts w:ascii="Arial" w:cs="Arial" w:eastAsia="Arial" w:hAnsi="Arial"/>
                <w:sz w:val="17"/>
                <w:szCs w:val="17"/>
                <w:color w:val="auto"/>
              </w:rPr>
              <w:t>% of our outstanding common stock (approximately</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 if the underwriters exercise</w:t>
            </w:r>
          </w:p>
        </w:tc>
      </w:tr>
      <w:tr>
        <w:trPr>
          <w:trHeight w:val="216"/>
        </w:trPr>
        <w:tc>
          <w:tcPr>
            <w:tcW w:w="5320" w:type="dxa"/>
            <w:vAlign w:val="bottom"/>
            <w:gridSpan w:val="4"/>
          </w:tcPr>
          <w:p>
            <w:pPr>
              <w:spacing w:after="0"/>
              <w:rPr>
                <w:sz w:val="20"/>
                <w:szCs w:val="20"/>
                <w:color w:val="auto"/>
              </w:rPr>
            </w:pPr>
            <w:r>
              <w:rPr>
                <w:rFonts w:ascii="Arial" w:cs="Arial" w:eastAsia="Arial" w:hAnsi="Arial"/>
                <w:sz w:val="17"/>
                <w:szCs w:val="17"/>
                <w:color w:val="auto"/>
              </w:rPr>
              <w:t>their option to purchase additional shares in full), representing</w:t>
            </w:r>
          </w:p>
        </w:tc>
        <w:tc>
          <w:tcPr>
            <w:tcW w:w="5920" w:type="dxa"/>
            <w:vAlign w:val="bottom"/>
            <w:gridSpan w:val="3"/>
          </w:tcPr>
          <w:p>
            <w:pPr>
              <w:jc w:val="right"/>
              <w:spacing w:after="0"/>
              <w:rPr>
                <w:sz w:val="20"/>
                <w:szCs w:val="20"/>
                <w:color w:val="auto"/>
              </w:rPr>
            </w:pPr>
            <w:r>
              <w:rPr>
                <w:rFonts w:ascii="Arial" w:cs="Arial" w:eastAsia="Arial" w:hAnsi="Arial"/>
                <w:sz w:val="17"/>
                <w:szCs w:val="17"/>
                <w:color w:val="auto"/>
              </w:rPr>
              <w:t>% of the voting power of the outstanding common stock</w:t>
            </w:r>
          </w:p>
        </w:tc>
      </w:tr>
      <w:tr>
        <w:trPr>
          <w:trHeight w:val="218"/>
        </w:trPr>
        <w:tc>
          <w:tcPr>
            <w:tcW w:w="1480" w:type="dxa"/>
            <w:vAlign w:val="bottom"/>
          </w:tcPr>
          <w:p>
            <w:pPr>
              <w:spacing w:after="0"/>
              <w:rPr>
                <w:sz w:val="20"/>
                <w:szCs w:val="20"/>
                <w:color w:val="auto"/>
              </w:rPr>
            </w:pPr>
            <w:r>
              <w:rPr>
                <w:rFonts w:ascii="Arial" w:cs="Arial" w:eastAsia="Arial" w:hAnsi="Arial"/>
                <w:sz w:val="17"/>
                <w:szCs w:val="17"/>
                <w:color w:val="auto"/>
              </w:rPr>
              <w:t>(approximately</w:t>
            </w:r>
          </w:p>
        </w:tc>
        <w:tc>
          <w:tcPr>
            <w:tcW w:w="9760" w:type="dxa"/>
            <w:vAlign w:val="bottom"/>
            <w:gridSpan w:val="6"/>
          </w:tcPr>
          <w:p>
            <w:pPr>
              <w:jc w:val="right"/>
              <w:spacing w:after="0"/>
              <w:rPr>
                <w:sz w:val="20"/>
                <w:szCs w:val="20"/>
                <w:color w:val="auto"/>
              </w:rPr>
            </w:pPr>
            <w:r>
              <w:rPr>
                <w:rFonts w:ascii="Arial" w:cs="Arial" w:eastAsia="Arial" w:hAnsi="Arial"/>
                <w:sz w:val="17"/>
                <w:szCs w:val="17"/>
                <w:color w:val="auto"/>
              </w:rPr>
              <w:t>% if the underwriters exercise their option to purchase additional shares in full). Ms. Ngai-Pesi is a beneficiary of the SMIK</w:t>
            </w:r>
          </w:p>
        </w:tc>
      </w:tr>
    </w:tbl>
    <w:p>
      <w:pPr>
        <w:jc w:val="both"/>
        <w:spacing w:after="0" w:line="256" w:lineRule="auto"/>
        <w:rPr>
          <w:sz w:val="20"/>
          <w:szCs w:val="20"/>
          <w:color w:val="auto"/>
        </w:rPr>
      </w:pPr>
      <w:r>
        <w:rPr>
          <w:rFonts w:ascii="Arial" w:cs="Arial" w:eastAsia="Arial" w:hAnsi="Arial"/>
          <w:sz w:val="17"/>
          <w:szCs w:val="17"/>
          <w:color w:val="auto"/>
        </w:rPr>
        <w:t>Trust and has no voting and dispositive power over the shares held by the SMIK Trust. Through Ms. Ngai-Pesic and the SMIK Trust’s collective control of shares of common stock representing a majority of the votes entitled to be cast in the election of our board of directors, Ms. Ngai-Pesic and the SMIK Trust have the ability to control the vote to elect all of our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directors. However, if we cease to be a controlled company and we continue to be listed on Nasdaq, we will be required to comply with the director independence requirements of Nasdaq relating to the board of directors, compensation committee and nominating and corporate governance committee by the date our status as a controlled company changes or within specified transition periods applicable to certain provisions, as the case may be.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function of our board of directors is informed oversight of our risk management process. Our board of directors does not have a standing risk management committee, but rather administers this oversight function directly through our board of directors,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Our board of directors will adopt a charter for each respective committee in connection with this offering, which will comply with the applicable requirements of current Nasdaq rules. We intend to comply with future requirements to the extent they are applicable to us. Following the completion of this offering, copies of the charters for each committee will be available on the investor relations portion of our website.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Upon effectiveness of the registration statement of which this prospectus forms a part, our audit committee will consist of William H. Molloie, Jr., Walden C. Rhines and Anthony K. K. Ngai. Our board of directors has affirmatively determined that each of the members of our audit committee satisfies the independence requirements of Nasdaq and Rule 10A-3 under the Exchange Act. Each member of our audit committee meets the financial literacy requirements of the Nasdaq rules and the SEC. In arriving at this determination, our board of directors has examined each audit committee member’s scope of experience and the nature of their prior and/or current employment.</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William H. Molloie, Jr. serves as the chair of our audit committee. Our board of directors has determined that Mr. Molloie qualifies as an “audit committee financial expert”, within the meaning of SEC regulations and meets the financial sophistication requirements of the Nasdaq listing rules. In making this determination, our board has considered Mr. Molloie’s formal education and previous experience in financial roles. Both our independent registered public accounting firm and management periodically meet privately with our audit committee.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functions of this committee include, among other things:</w:t>
      </w:r>
    </w:p>
    <w:p>
      <w:pPr>
        <w:spacing w:after="0" w:line="183" w:lineRule="exact"/>
        <w:rPr>
          <w:sz w:val="20"/>
          <w:szCs w:val="20"/>
          <w:color w:val="auto"/>
        </w:rPr>
      </w:pPr>
    </w:p>
    <w:p>
      <w:pPr>
        <w:ind w:left="660" w:hanging="328"/>
        <w:spacing w:after="0" w:line="258" w:lineRule="auto"/>
        <w:tabs>
          <w:tab w:leader="none" w:pos="669" w:val="left"/>
        </w:tabs>
        <w:numPr>
          <w:ilvl w:val="0"/>
          <w:numId w:val="51"/>
        </w:numPr>
        <w:rPr>
          <w:rFonts w:ascii="Arial" w:cs="Arial" w:eastAsia="Arial" w:hAnsi="Arial"/>
          <w:sz w:val="17"/>
          <w:szCs w:val="17"/>
          <w:color w:val="auto"/>
        </w:rPr>
      </w:pPr>
      <w:r>
        <w:rPr>
          <w:rFonts w:ascii="Arial" w:cs="Arial" w:eastAsia="Arial" w:hAnsi="Arial"/>
          <w:sz w:val="17"/>
          <w:szCs w:val="17"/>
          <w:color w:val="auto"/>
        </w:rPr>
        <w:t>evaluating the performance, independence and qualifications of our independent auditors and determining whether to retain our existing independent auditors or engage new independent auditors;</w:t>
      </w: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our financial reporting processes and disclosure controls;</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and approving the engagement of our independent auditors to perform audit services and any permissible non-audit services;</w:t>
      </w:r>
    </w:p>
    <w:p>
      <w:pPr>
        <w:spacing w:after="0" w:line="13" w:lineRule="exact"/>
        <w:rPr>
          <w:rFonts w:ascii="Arial" w:cs="Arial" w:eastAsia="Arial" w:hAnsi="Arial"/>
          <w:sz w:val="17"/>
          <w:szCs w:val="17"/>
          <w:color w:val="auto"/>
        </w:rPr>
      </w:pPr>
    </w:p>
    <w:p>
      <w:pPr>
        <w:ind w:left="660" w:hanging="328"/>
        <w:spacing w:after="0" w:line="253"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policies and procedures, including the responsibilities, budget, staffing and effectiveness of our internal audit function;</w:t>
      </w:r>
    </w:p>
    <w:p>
      <w:pPr>
        <w:ind w:left="660" w:hanging="328"/>
        <w:spacing w:after="0" w:line="24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with the independent auditors the annual audit plan, including the scope of audit activities and all critical accounting policies and practices to be used by us;</w:t>
      </w:r>
    </w:p>
    <w:p>
      <w:pPr>
        <w:spacing w:after="0" w:line="1" w:lineRule="exact"/>
        <w:rPr>
          <w:rFonts w:ascii="Arial" w:cs="Arial" w:eastAsia="Arial" w:hAnsi="Arial"/>
          <w:sz w:val="17"/>
          <w:szCs w:val="17"/>
          <w:color w:val="auto"/>
        </w:rPr>
      </w:pPr>
    </w:p>
    <w:p>
      <w:pPr>
        <w:ind w:left="660" w:hanging="328"/>
        <w:spacing w:after="0" w:line="252"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obtaining and reviewing at least annually a report by our independent auditors describing the independent auditors’ internal quality control procedures and any material issues raised by the most recent internal quality-control review;</w:t>
      </w: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auditors on our engagement team as required by law;</w:t>
      </w:r>
    </w:p>
    <w:p>
      <w:pPr>
        <w:spacing w:after="0" w:line="14" w:lineRule="exact"/>
        <w:rPr>
          <w:rFonts w:ascii="Arial" w:cs="Arial" w:eastAsia="Arial" w:hAnsi="Arial"/>
          <w:sz w:val="17"/>
          <w:szCs w:val="17"/>
          <w:color w:val="auto"/>
        </w:rPr>
      </w:pPr>
    </w:p>
    <w:p>
      <w:pPr>
        <w:jc w:val="both"/>
        <w:ind w:left="660" w:hanging="328"/>
        <w:spacing w:after="0" w:line="248"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1" w:lineRule="exact"/>
        <w:rPr>
          <w:rFonts w:ascii="Arial" w:cs="Arial" w:eastAsia="Arial" w:hAnsi="Arial"/>
          <w:sz w:val="17"/>
          <w:szCs w:val="17"/>
          <w:color w:val="auto"/>
        </w:rPr>
      </w:pPr>
    </w:p>
    <w:p>
      <w:pPr>
        <w:jc w:val="both"/>
        <w:ind w:left="660" w:hanging="328"/>
        <w:spacing w:after="0" w:line="265"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reviewing our annual and quarterly financial statements and reports, including the disclosures contained in “Management’s Discussion and Analysis of Financial Condition and Results of Operations,” and discussing the statements and reports with our independent auditors and management;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660" w:hanging="328"/>
        <w:spacing w:after="0" w:line="255" w:lineRule="auto"/>
        <w:tabs>
          <w:tab w:leader="none" w:pos="6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ind w:left="660" w:hanging="328"/>
        <w:spacing w:after="0" w:line="252" w:lineRule="auto"/>
        <w:tabs>
          <w:tab w:leader="none" w:pos="709"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reviewing with management and our auditors any earnings announcements and other public announcements regarding material developments;</w:t>
      </w:r>
    </w:p>
    <w:p>
      <w:pPr>
        <w:ind w:left="660" w:hanging="328"/>
        <w:spacing w:after="0" w:line="253" w:lineRule="auto"/>
        <w:tabs>
          <w:tab w:leader="none" w:pos="682"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financial controls, accounting, auditing or other matters;</w:t>
      </w: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preparing the report that the SEC requires in our annual proxy statement;</w:t>
      </w:r>
    </w:p>
    <w:p>
      <w:pPr>
        <w:spacing w:after="0" w:line="7" w:lineRule="exact"/>
        <w:rPr>
          <w:rFonts w:ascii="Arial" w:cs="Arial" w:eastAsia="Arial" w:hAnsi="Arial"/>
          <w:sz w:val="17"/>
          <w:szCs w:val="17"/>
          <w:color w:val="auto"/>
        </w:rPr>
      </w:pPr>
    </w:p>
    <w:p>
      <w:pPr>
        <w:ind w:left="660" w:right="20" w:hanging="328"/>
        <w:spacing w:after="0" w:line="252"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reviewing and providing oversight of any related person transactions in accordance with our related person transaction policy and reviewing and monitoring compliance with legal and regulatory responsibilities, including our code of business conduct and ethics;</w:t>
      </w:r>
    </w:p>
    <w:p>
      <w:pPr>
        <w:ind w:left="660" w:right="20" w:hanging="328"/>
        <w:spacing w:after="0" w:line="253"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reviewing our major financial risk exposures, including the guidelines and policies to govern the process by which risk assessment and risk management is implemented; and</w:t>
      </w: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reviewing and evaluating on an annual basis the performance of the audit committee and the audit committee charter.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effectiveness of the registration statement of which this prospectus forms a part, our compensation committee will consist of Hau L. Lee, Ms. Ngai-Pesic, Anthony K. K. Ngai, and Iliya I. Pesic. will serve as the chair of our compensation committee. The functions of this committee include, among other things:</w:t>
      </w:r>
    </w:p>
    <w:p>
      <w:pPr>
        <w:spacing w:after="0" w:line="1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approving the corporate objectives that pertain to the determination of executive compensation;</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approving the compensation and other terms of employment of our executive officers;</w:t>
      </w:r>
    </w:p>
    <w:p>
      <w:pPr>
        <w:spacing w:after="0" w:line="7" w:lineRule="exact"/>
        <w:rPr>
          <w:rFonts w:ascii="Arial" w:cs="Arial" w:eastAsia="Arial" w:hAnsi="Arial"/>
          <w:sz w:val="17"/>
          <w:szCs w:val="17"/>
          <w:color w:val="auto"/>
        </w:rPr>
      </w:pPr>
    </w:p>
    <w:p>
      <w:pPr>
        <w:ind w:left="660" w:right="20" w:hanging="328"/>
        <w:spacing w:after="0" w:line="248" w:lineRule="auto"/>
        <w:tabs>
          <w:tab w:leader="none" w:pos="682"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approving performance goals and objectives relevant to the compensation of our executive officers and assessing their performance against these goals and objectives;</w:t>
      </w:r>
    </w:p>
    <w:p>
      <w:pPr>
        <w:spacing w:after="0" w:line="1" w:lineRule="exact"/>
        <w:rPr>
          <w:rFonts w:ascii="Arial" w:cs="Arial" w:eastAsia="Arial" w:hAnsi="Arial"/>
          <w:sz w:val="17"/>
          <w:szCs w:val="17"/>
          <w:color w:val="auto"/>
        </w:rPr>
      </w:pPr>
    </w:p>
    <w:p>
      <w:pPr>
        <w:ind w:left="660" w:hanging="328"/>
        <w:spacing w:after="0" w:line="256"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making recommendations to our board of directors regarding the adoption or amendment of equity and cash incentive plans and approving amendments to such plans to the extent authorized by our board of directors;</w:t>
      </w:r>
    </w:p>
    <w:p>
      <w:pPr>
        <w:spacing w:after="0" w:line="1" w:lineRule="exact"/>
        <w:rPr>
          <w:rFonts w:ascii="Arial" w:cs="Arial" w:eastAsia="Arial" w:hAnsi="Arial"/>
          <w:sz w:val="17"/>
          <w:szCs w:val="17"/>
          <w:color w:val="auto"/>
        </w:rPr>
      </w:pPr>
    </w:p>
    <w:p>
      <w:pPr>
        <w:ind w:left="660" w:hanging="328"/>
        <w:spacing w:after="0" w:line="248"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regarding the type and amount of compensation to be paid or awarded to our non-employee board members;</w:t>
      </w:r>
    </w:p>
    <w:p>
      <w:pPr>
        <w:spacing w:after="0" w:line="1" w:lineRule="exact"/>
        <w:rPr>
          <w:rFonts w:ascii="Arial" w:cs="Arial" w:eastAsia="Arial" w:hAnsi="Arial"/>
          <w:sz w:val="17"/>
          <w:szCs w:val="17"/>
          <w:color w:val="auto"/>
        </w:rPr>
      </w:pPr>
    </w:p>
    <w:p>
      <w:pPr>
        <w:ind w:left="660" w:hanging="328"/>
        <w:spacing w:after="0" w:line="252" w:lineRule="auto"/>
        <w:tabs>
          <w:tab w:leader="none" w:pos="669"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assessing the independence of compensation consultants, legal counsel and other advisors as required by Section 10C of the Exchange Act;</w:t>
      </w: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administering our equity incentive plans, to the extent such authority is delegated by our board of directors;</w:t>
      </w:r>
    </w:p>
    <w:p>
      <w:pPr>
        <w:spacing w:after="0" w:line="14" w:lineRule="exact"/>
        <w:rPr>
          <w:rFonts w:ascii="Arial" w:cs="Arial" w:eastAsia="Arial" w:hAnsi="Arial"/>
          <w:sz w:val="17"/>
          <w:szCs w:val="17"/>
          <w:color w:val="auto"/>
        </w:rPr>
      </w:pPr>
    </w:p>
    <w:p>
      <w:pPr>
        <w:ind w:left="660" w:right="20" w:hanging="328"/>
        <w:spacing w:after="0" w:line="248"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approving the terms of any employment agreements, severance arrangements, change in control protections, indemnification agreements and any other material arrangements for our executive officers;</w:t>
      </w:r>
    </w:p>
    <w:p>
      <w:pPr>
        <w:spacing w:after="0" w:line="1" w:lineRule="exact"/>
        <w:rPr>
          <w:rFonts w:ascii="Arial" w:cs="Arial" w:eastAsia="Arial" w:hAnsi="Arial"/>
          <w:sz w:val="17"/>
          <w:szCs w:val="17"/>
          <w:color w:val="auto"/>
        </w:rPr>
      </w:pPr>
    </w:p>
    <w:p>
      <w:pPr>
        <w:jc w:val="both"/>
        <w:ind w:left="660" w:hanging="328"/>
        <w:spacing w:after="0" w:line="237" w:lineRule="auto"/>
        <w:tabs>
          <w:tab w:leader="none" w:pos="682" w:val="left"/>
        </w:tabs>
        <w:numPr>
          <w:ilvl w:val="0"/>
          <w:numId w:val="53"/>
        </w:numPr>
        <w:rPr>
          <w:rFonts w:ascii="Arial" w:cs="Arial" w:eastAsia="Arial" w:hAnsi="Arial"/>
          <w:sz w:val="17"/>
          <w:szCs w:val="17"/>
          <w:color w:val="auto"/>
        </w:rPr>
      </w:pPr>
      <w:r>
        <w:rPr>
          <w:rFonts w:ascii="Arial" w:cs="Arial" w:eastAsia="Arial" w:hAnsi="Arial"/>
          <w:sz w:val="17"/>
          <w:szCs w:val="17"/>
          <w:color w:val="auto"/>
        </w:rPr>
        <w:t>overseeing the development and implementation of our human capital management, including those policies and strategies regarding recruiting, retention, career development, opportunity, and advancement, and succession, diversity, equity, inclusion, and employment practices;</w:t>
      </w:r>
    </w:p>
    <w:p>
      <w:pPr>
        <w:spacing w:after="0" w:line="1" w:lineRule="exact"/>
        <w:rPr>
          <w:rFonts w:ascii="Arial" w:cs="Arial" w:eastAsia="Arial" w:hAnsi="Arial"/>
          <w:sz w:val="17"/>
          <w:szCs w:val="17"/>
          <w:color w:val="auto"/>
        </w:rPr>
      </w:pPr>
    </w:p>
    <w:p>
      <w:pPr>
        <w:ind w:left="660" w:right="20" w:hanging="328"/>
        <w:spacing w:after="0" w:line="248" w:lineRule="auto"/>
        <w:tabs>
          <w:tab w:leader="none" w:pos="669"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preparing an annual report on executive compensation that the SEC requires in our annual proxy statement; and</w:t>
      </w:r>
    </w:p>
    <w:p>
      <w:pPr>
        <w:spacing w:after="0" w:line="7" w:lineRule="exact"/>
        <w:rPr>
          <w:rFonts w:ascii="Arial" w:cs="Arial" w:eastAsia="Arial" w:hAnsi="Arial"/>
          <w:sz w:val="17"/>
          <w:szCs w:val="17"/>
          <w:color w:val="auto"/>
        </w:rPr>
      </w:pPr>
    </w:p>
    <w:p>
      <w:pPr>
        <w:ind w:left="660" w:hanging="328"/>
        <w:spacing w:after="0" w:line="264"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evaluating on an annual basis the performance of the compensation committee and recommending such changes as deemed necessary with our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Upon effectiveness of the registration statement of which this prospectus forms a part, our nominating and corporate governance committee will consist of Hau L. Lee, Anthony K. K. Ngai, Ms. Ngai-Pesic, Iliya I. Pesic and Jodi L. Shelton. Mr. Ngai will serve as the chair of our nominating and corporate governance committee. The functions of this committee include, among other things:</w:t>
      </w:r>
    </w:p>
    <w:p>
      <w:pPr>
        <w:spacing w:after="0" w:line="13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identifying, reviewing and making recommendations of candidates to serve on our board of directors;</w:t>
      </w:r>
    </w:p>
    <w:p>
      <w:pPr>
        <w:spacing w:after="0" w:line="23" w:lineRule="exact"/>
        <w:rPr>
          <w:rFonts w:ascii="Arial" w:cs="Arial" w:eastAsia="Arial" w:hAnsi="Arial"/>
          <w:sz w:val="17"/>
          <w:szCs w:val="17"/>
          <w:color w:val="auto"/>
        </w:rPr>
      </w:pPr>
    </w:p>
    <w:p>
      <w:pPr>
        <w:ind w:left="660" w:hanging="328"/>
        <w:spacing w:after="0" w:line="252"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evaluating the performance of our board of directors, committees of our board of directors and individual directors and determining whether continued service on our board is appropriate;</w:t>
      </w: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evaluating nominations by stockholders of candidates for election to our board of directors;</w:t>
      </w:r>
    </w:p>
    <w:p>
      <w:pPr>
        <w:spacing w:after="0" w:line="14" w:lineRule="exact"/>
        <w:rPr>
          <w:rFonts w:ascii="Arial" w:cs="Arial" w:eastAsia="Arial" w:hAnsi="Arial"/>
          <w:sz w:val="17"/>
          <w:szCs w:val="17"/>
          <w:color w:val="auto"/>
        </w:rPr>
      </w:pPr>
    </w:p>
    <w:p>
      <w:pPr>
        <w:ind w:left="660" w:hanging="328"/>
        <w:spacing w:after="0" w:line="248"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evaluating the current size, composition and organization of our board of directors and its committees and making recommendations to our board of directors for approvals;</w:t>
      </w:r>
    </w:p>
    <w:p>
      <w:pPr>
        <w:spacing w:after="0" w:line="1" w:lineRule="exact"/>
        <w:rPr>
          <w:rFonts w:ascii="Arial" w:cs="Arial" w:eastAsia="Arial" w:hAnsi="Arial"/>
          <w:sz w:val="17"/>
          <w:szCs w:val="17"/>
          <w:color w:val="auto"/>
        </w:rPr>
      </w:pPr>
    </w:p>
    <w:p>
      <w:pPr>
        <w:ind w:left="660" w:hanging="328"/>
        <w:spacing w:after="0" w:line="264"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developing a set of corporate governance policies and principles and recommending to our board of directors any changes to such policies and principles;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hanging="328"/>
        <w:spacing w:after="0" w:line="258"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reviewing issues and developments related to corporate governance and identifying and bringing to the attention of our board of directors current and emerging corporate governance trends;</w:t>
      </w: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overseeing environmental and social governance matters relevant to us; and</w:t>
      </w:r>
    </w:p>
    <w:p>
      <w:pPr>
        <w:spacing w:after="0" w:line="7" w:lineRule="exact"/>
        <w:rPr>
          <w:rFonts w:ascii="Arial" w:cs="Arial" w:eastAsia="Arial" w:hAnsi="Arial"/>
          <w:sz w:val="17"/>
          <w:szCs w:val="17"/>
          <w:color w:val="auto"/>
        </w:rPr>
      </w:pPr>
    </w:p>
    <w:p>
      <w:pPr>
        <w:ind w:left="660" w:hanging="328"/>
        <w:spacing w:after="0" w:line="264" w:lineRule="auto"/>
        <w:tabs>
          <w:tab w:leader="none" w:pos="709"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reviewing periodically the nominating and corporate governance committee charter, structure and membership requirements and recommending any proposed changes to our board of directors, including undertaking an annual review of its own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Ms. Ngai-Pesic has served as a member of our compensation committee since May 2021 and as chair of our compensation committee from December 2021 through August 2022. Mr. Pesic has served on our compensation committee since May 2021. Ms. Ngai-Pesic is the mother of Iliya I. Pesic. None of our current executive officers currently serve, or has served during the last completed fiscal year, on the compensation committee or board of directors of any other entity that has one or more executive officers serving as a member of our board of directors or compensation committee.</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information regarding agreements between us and Ms. Ngai-Pesic, Iliya I. Pesic and Anthony K. K. Ngai, see “Certain Relationships and Related Party Transactions—Consulting and Employment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amended and restated bylaws, which will become effective as of immediately prior to the completion of this offering,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3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derives an improper personal benefit;</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any act or omission not in good faith or that involves intentional misconduct or a knowing violation of law;</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any unlawful payment of dividends or redemption or repurchases of shares; or</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any breach of a director’s duty of loyalty to the corporation or its stockholders.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Delaware law and 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we intend to enter into separate indemnification agreements with our directors and officers. These agreements, among other things, will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maintain a directors’ and officers’ insurance policy pursuant to which our directors and officers are insured against liability for actions taken in their capacities as directors and officers. We believe that these provisions in our amended and restated certificate of incorporation and amended and restated bylaws and these indemnification agreements are necessary to attract and retain qualified persons as directors and officers.</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intend to adopt a Code of Business Conduct and Ethics, or the Code of Conduct, that will be applicable to our directors, officers and employees (including our principal executive officer, principal financial officer, principal accounting officer or controller, or persons performing similar functions), which will become effective upon the effectiveness of the registration statement of which this prospectus forms a part. The Code of Conduct will be available on our website at www.silvaco.com.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of Conduct and must approve any waivers of the Code of Conduct for employees, executive officers and directors. We expect that any amendments to the Code of Conduct, or any waivers of its requirements, will be disclosed on our website.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paid cash retainers or other compensation to certain members of our board of directors. We have reimbursed and will continue to reimburse all of our non-employee directors for their reasonable travel and out of pocket expenses incurred in attending meetings of our board of directors and committees of our board of directors in accordance with our reimbursement procedures.</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following table presents summary compensation information of our current non-employee members of our board of directors for the fiscal year ended 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Fees Earned or Paid</w:t>
            </w:r>
          </w:p>
        </w:tc>
        <w:tc>
          <w:tcPr>
            <w:tcW w:w="15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RSU Awards ($) </w:t>
            </w:r>
            <w:r>
              <w:rPr>
                <w:rFonts w:ascii="Arial" w:cs="Arial" w:eastAsia="Arial" w:hAnsi="Arial"/>
                <w:sz w:val="9"/>
                <w:szCs w:val="9"/>
                <w:b w:val="1"/>
                <w:bCs w:val="1"/>
                <w:color w:val="auto"/>
              </w:rPr>
              <w:t>(2) (3)</w:t>
            </w:r>
          </w:p>
        </w:tc>
        <w:tc>
          <w:tcPr>
            <w:tcW w:w="1580" w:type="dxa"/>
            <w:vAlign w:val="bottom"/>
            <w:tcBorders>
              <w:top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All Other</w:t>
            </w:r>
          </w:p>
        </w:tc>
        <w:tc>
          <w:tcPr>
            <w:tcW w:w="148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5040" w:type="dxa"/>
            <w:vAlign w:val="bottom"/>
            <w:gridSpan w:val="2"/>
            <w:vMerge w:val="continue"/>
          </w:tcPr>
          <w:p>
            <w:pPr>
              <w:spacing w:after="0"/>
              <w:rPr>
                <w:sz w:val="16"/>
                <w:szCs w:val="16"/>
                <w:color w:val="auto"/>
              </w:rPr>
            </w:pPr>
          </w:p>
        </w:tc>
        <w:tc>
          <w:tcPr>
            <w:tcW w:w="156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97"/>
              </w:rPr>
              <w:t xml:space="preserve">in Cash ($) </w:t>
            </w:r>
            <w:r>
              <w:rPr>
                <w:rFonts w:ascii="Arial" w:cs="Arial" w:eastAsia="Arial" w:hAnsi="Arial"/>
                <w:sz w:val="18"/>
                <w:szCs w:val="18"/>
                <w:b w:val="1"/>
                <w:bCs w:val="1"/>
                <w:color w:val="auto"/>
                <w:w w:val="97"/>
                <w:vertAlign w:val="superscript"/>
              </w:rPr>
              <w:t>(1)</w:t>
            </w:r>
          </w:p>
        </w:tc>
        <w:tc>
          <w:tcPr>
            <w:tcW w:w="1580" w:type="dxa"/>
            <w:vAlign w:val="bottom"/>
            <w:gridSpan w:val="2"/>
            <w:vMerge w:val="continue"/>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Compensation ($)</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Katherine S. Ngai-Pesic</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17"/>
                <w:szCs w:val="17"/>
                <w:color w:val="auto"/>
              </w:rPr>
              <w:t>96,144</w:t>
            </w:r>
            <w:r>
              <w:rPr>
                <w:rFonts w:ascii="Arial" w:cs="Arial" w:eastAsia="Arial" w:hAnsi="Arial"/>
                <w:sz w:val="22"/>
                <w:szCs w:val="22"/>
                <w:color w:val="auto"/>
                <w:vertAlign w:val="superscript"/>
              </w:rPr>
              <w:t>(4)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96,144</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Dr. Hau L. Lee</w:t>
            </w:r>
            <w:r>
              <w:rPr>
                <w:rFonts w:ascii="Arial" w:cs="Arial" w:eastAsia="Arial" w:hAnsi="Arial"/>
                <w:sz w:val="22"/>
                <w:szCs w:val="22"/>
                <w:color w:val="auto"/>
                <w:vertAlign w:val="superscript"/>
              </w:rPr>
              <w:t>(5)</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gridSpan w:val="2"/>
          </w:tcPr>
          <w:p>
            <w:pPr>
              <w:ind w:left="12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William H. Molloie, Jr.</w:t>
            </w:r>
            <w:r>
              <w:rPr>
                <w:rFonts w:ascii="Arial" w:cs="Arial" w:eastAsia="Arial" w:hAnsi="Arial"/>
                <w:sz w:val="22"/>
                <w:szCs w:val="22"/>
                <w:color w:val="auto"/>
                <w:vertAlign w:val="superscript"/>
              </w:rPr>
              <w:t>(5)</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Anthony K. K. Ngai</w:t>
            </w:r>
          </w:p>
        </w:tc>
        <w:tc>
          <w:tcPr>
            <w:tcW w:w="1480" w:type="dxa"/>
            <w:vAlign w:val="bottom"/>
          </w:tcPr>
          <w:p>
            <w:pPr>
              <w:jc w:val="right"/>
              <w:spacing w:after="0"/>
              <w:rPr>
                <w:sz w:val="20"/>
                <w:szCs w:val="20"/>
                <w:color w:val="auto"/>
              </w:rPr>
            </w:pPr>
            <w:r>
              <w:rPr>
                <w:rFonts w:ascii="Arial" w:cs="Arial" w:eastAsia="Arial" w:hAnsi="Arial"/>
                <w:sz w:val="17"/>
                <w:szCs w:val="17"/>
                <w:color w:val="auto"/>
              </w:rPr>
              <w:t>18,750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53,250</w:t>
            </w:r>
          </w:p>
        </w:tc>
        <w:tc>
          <w:tcPr>
            <w:tcW w:w="10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72,000</w:t>
            </w:r>
          </w:p>
        </w:tc>
        <w:tc>
          <w:tcPr>
            <w:tcW w:w="0" w:type="dxa"/>
            <w:vAlign w:val="bottom"/>
          </w:tcPr>
          <w:p>
            <w:pPr>
              <w:spacing w:after="0"/>
              <w:rPr>
                <w:sz w:val="1"/>
                <w:szCs w:val="1"/>
                <w:color w:val="auto"/>
              </w:rPr>
            </w:pPr>
          </w:p>
        </w:tc>
      </w:tr>
      <w:tr>
        <w:trPr>
          <w:trHeight w:val="23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Iliya I. Pesic</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line="232" w:lineRule="exact"/>
              <w:rPr>
                <w:sz w:val="20"/>
                <w:szCs w:val="20"/>
                <w:color w:val="auto"/>
              </w:rPr>
            </w:pPr>
            <w:r>
              <w:rPr>
                <w:rFonts w:ascii="Arial" w:cs="Arial" w:eastAsia="Arial" w:hAnsi="Arial"/>
                <w:sz w:val="17"/>
                <w:szCs w:val="17"/>
                <w:color w:val="auto"/>
              </w:rPr>
              <w:t>196,548</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303,048</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Dr. Walden C. Rhines</w:t>
            </w:r>
            <w:r>
              <w:rPr>
                <w:rFonts w:ascii="Arial" w:cs="Arial" w:eastAsia="Arial" w:hAnsi="Arial"/>
                <w:sz w:val="22"/>
                <w:szCs w:val="22"/>
                <w:color w:val="auto"/>
                <w:vertAlign w:val="superscript"/>
              </w:rPr>
              <w:t>(5)</w:t>
            </w: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gridSpan w:val="2"/>
          </w:tcPr>
          <w:p>
            <w:pPr>
              <w:ind w:left="12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Jodi L. Shelton</w:t>
            </w:r>
            <w:r>
              <w:rPr>
                <w:rFonts w:ascii="Arial" w:cs="Arial" w:eastAsia="Arial" w:hAnsi="Arial"/>
                <w:sz w:val="22"/>
                <w:szCs w:val="22"/>
                <w:color w:val="auto"/>
                <w:vertAlign w:val="superscript"/>
              </w:rPr>
              <w:t>(5)</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4"/>
        </w:trPr>
        <w:tc>
          <w:tcPr>
            <w:tcW w:w="4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include applicable annual retainers for the individual’s service on our board of directors and committees thereof.</w:t>
      </w:r>
    </w:p>
    <w:p>
      <w:pPr>
        <w:spacing w:after="0" w:line="28"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in this column represent the aggregate grant date fair value of RSU awards made during 2021, calculated in accordance with Accounting Standards Codification, or ASC, Topic 718. See Note 2 to the notes to our consolidated financial statements for a discussion of the relevant assumptions used in calculating these amounts.</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 of December 31, 2021, the aggregate number of shares underlying outstanding RSU awards held by Anthony K. K. Ngai and Iliya I. Pesic is 15,000 shares and 329,680 shares, respectively.</w:t>
      </w:r>
    </w:p>
    <w:p>
      <w:pPr>
        <w:ind w:left="340" w:hanging="332"/>
        <w:spacing w:after="0" w:line="251"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Ms. Ngai-Pesic earned compensation of $96,144 for her service as an employee of the company in 2021. We did not enter into a written agreement with Ms. Ngai-Pesic governing the terms of her employment.</w:t>
      </w: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individual joined our board of directors subsequent to December 31, 2021.</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Pesic earned compensation of $189,596 for his service as an employee of the company in 2021, and we made $6,952 in car lease payments on behalf of Mr. Pesic in 2021. We did not enter into a written agreement with Mr. Pesic governing the terms of his employment.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their joining our board of directors, we granted William H. Molloie, Jr. 15,000 liquidity-contingent RSUs on August 26, 2022, and each of Dr. Hau L. Lee, Jodi L. Shelton and Dr. Walden C. Rhines 15,000 liquidity-contingent RSUs on September 15, 2022. Each RSU award will vest on the first date upon which both the Time-Based Requirement and the Liquidity Event Requirement are satisfied with respect to the applicable award. The liquidity event requirement will be satisfied as to any then-outstanding RSUs on the first to occur of: (1) a change in control event (as defined in the award agreement) or (2) the first sale of common stock pursuant to an underwritten initial public offering, including the consummation of this offering, in either case, within 10 years of the grant date. The Time-Based Requirement will be satisfied in installments over four years as follows: 25% of the RSUs will vest on the one-year anniversary of the vesting start date (as set forth in the applicable award agreement), with the remaining 75% of the RSUs vesting, in equal quarterly installments during the next 12 quarters thereafter, in each case subject to the award recipient’s continuous service through each such date.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Upon the completion of this offering, the Time-Based Requirement applicable to any unvested RSUs subject to the aforementioned awards will accelerate with respect to 50% of the then unvested portion of the such RSU awards outstanding as of the closing of the offering, subject to the applicable director’s continued employment through such closing. If we terminate a director’s service with us, or any successor of ours, without cause (as defined in the director’s RSU award agreement) or by such director’s resignation for good reason (as defined in the director’s RSU award agreement), within 12 months after the closing of a change of control (as defined in the director’s RSU award agreement), 100% of the then-outstanding unvested RSUs will be deemed to have satisfied the Time-Based Requirement.</w:t>
      </w:r>
    </w:p>
    <w:p>
      <w:pPr>
        <w:spacing w:after="0" w:line="125"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Our board of directors approved the following proposed cash compensation, which is based on a review of director compensation at comparable companies in our industry. We anticipate that our board of directors or the compensation committee will approve cash compensation for non-employee directors consisting of a $40,000 annual retainer, an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additional $30,000 annual retainer for the non-executive chair and for the lead independent director, if any, and the following additional annual retainers for committee service: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Committee</w:t>
            </w: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Chair</w:t>
            </w:r>
            <w:r>
              <w:rPr>
                <w:rFonts w:ascii="Arial" w:cs="Arial" w:eastAsia="Arial" w:hAnsi="Arial"/>
                <w:sz w:val="9"/>
                <w:szCs w:val="9"/>
                <w:b w:val="1"/>
                <w:bCs w:val="1"/>
                <w:color w:val="auto"/>
              </w:rPr>
              <w:t>(1)</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Member</w:t>
            </w:r>
          </w:p>
        </w:tc>
      </w:tr>
      <w:tr>
        <w:trPr>
          <w:trHeight w:val="224"/>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Compensation Committee</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Nominating and Corporate Governance Committee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Audit Committee</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95"/>
        </w:trPr>
        <w:tc>
          <w:tcPr>
            <w:tcW w:w="8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(1) Retainer is in addition to the retainer received for committee membership.</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Following the completion of our initial public offering, our non-employee directors who will continue serving as a member of our board of directors will also receive an annual grant of RSUs under the 2023 Plan following the conclusion of each regular annual meeting of our stockholders, commencing with the 2023 annual meeting. The annual RSU award will be with respect to a number of shares of common stock having an aggregate fair market value equal to $150,000 calculated on the date of grant. Each annual RSU award will become fully vested, subject to continued service as a director, on the earliest of the 12-month anniversary of the date of grant, the next annual meeting of stockholders following the date of grant, or the consummation of a change in control as defined in the 2023 Plan.</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information regarding cash compensation earned by our current non-employee directors in connection with their service as employees of the company and pursuant to the terms of consulting agreements entered into in 2022, see “Certain Relationships and Related Party Transactions— Consulting and Employment Arrangements.”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3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Our named executive officers, who consist of our principal executive officer, and our two most highly compensated executive officers, for the year ended December 31, 2021 were:</w:t>
      </w:r>
    </w:p>
    <w:p>
      <w:pPr>
        <w:spacing w:after="0" w:line="118"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Dr. Babak A. Taheri, Chief Executive Officer and Director;</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Gregory F. Swyt, former Chief Financial Officer; and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Dr. Eric Guichard, Vice President and General Manager TCAD.</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February 4, 2022, Robert McMullan commenced employment as our Chief Financial Officer. Although Mr. McMullan joined us in 2022, we have included certain information in parts of the following narrative regarding his compensation where it may be material to an understanding of our executive compensation program.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following table presents summary information regarding total compensation for each of our named executive officers for the year ended December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Nonqualified</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Incentive Plan</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Deferred</w:t>
            </w:r>
          </w:p>
        </w:tc>
        <w:tc>
          <w:tcPr>
            <w:tcW w:w="134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9"/>
                <w:szCs w:val="9"/>
                <w:b w:val="1"/>
                <w:bCs w:val="1"/>
                <w:color w:val="auto"/>
              </w:rPr>
              <w:t>(1)</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9"/>
                <w:szCs w:val="9"/>
                <w:b w:val="1"/>
                <w:bCs w:val="1"/>
                <w:color w:val="auto"/>
              </w:rPr>
              <w:t>(2)</w:t>
            </w:r>
          </w:p>
        </w:tc>
        <w:tc>
          <w:tcPr>
            <w:tcW w:w="11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Compensation</w:t>
            </w:r>
          </w:p>
        </w:tc>
        <w:tc>
          <w:tcPr>
            <w:tcW w:w="122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tcPr>
          <w:p>
            <w:pPr>
              <w:jc w:val="right"/>
              <w:ind w:right="286"/>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(3)</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(4)</w:t>
            </w: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Earnings ($)</w:t>
            </w:r>
          </w:p>
        </w:tc>
        <w:tc>
          <w:tcPr>
            <w:tcW w:w="124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(5)</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7"/>
                <w:szCs w:val="17"/>
                <w:b w:val="1"/>
                <w:bCs w:val="1"/>
                <w:color w:val="auto"/>
              </w:rPr>
              <w:t>Dr. Babak A. Taheri</w:t>
            </w:r>
            <w:r>
              <w:rPr>
                <w:rFonts w:ascii="Arial" w:cs="Arial" w:eastAsia="Arial" w:hAnsi="Arial"/>
                <w:sz w:val="22"/>
                <w:szCs w:val="22"/>
                <w:color w:val="auto"/>
                <w:vertAlign w:val="superscript"/>
              </w:rPr>
              <w:t>(6)</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298,477</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728,150</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40,520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7"/>
                <w:szCs w:val="17"/>
                <w:color w:val="auto"/>
              </w:rPr>
              <w:t>180,000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1,247,147</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i w:val="1"/>
                <w:iCs w:val="1"/>
                <w:color w:val="auto"/>
              </w:rPr>
              <w:t>Chief Executive Officer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and Director</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Arial" w:cs="Arial" w:eastAsia="Arial" w:hAnsi="Arial"/>
                <w:sz w:val="17"/>
                <w:szCs w:val="17"/>
                <w:b w:val="1"/>
                <w:bCs w:val="1"/>
                <w:color w:val="auto"/>
              </w:rPr>
              <w:t>Gregory F. Swyt</w:t>
            </w:r>
            <w:r>
              <w:rPr>
                <w:rFonts w:ascii="Arial" w:cs="Arial" w:eastAsia="Arial" w:hAnsi="Arial"/>
                <w:sz w:val="22"/>
                <w:szCs w:val="22"/>
                <w:color w:val="auto"/>
                <w:vertAlign w:val="superscript"/>
              </w:rPr>
              <w:t>(7)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157,385</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9"/>
                <w:szCs w:val="19"/>
                <w:color w:val="auto"/>
              </w:rPr>
            </w:pPr>
          </w:p>
        </w:tc>
        <w:tc>
          <w:tcPr>
            <w:tcW w:w="1020" w:type="dxa"/>
            <w:vAlign w:val="bottom"/>
          </w:tcPr>
          <w:p>
            <w:pPr>
              <w:jc w:val="right"/>
              <w:ind w:right="6"/>
              <w:spacing w:after="0"/>
              <w:rPr>
                <w:sz w:val="20"/>
                <w:szCs w:val="20"/>
                <w:color w:val="auto"/>
              </w:rPr>
            </w:pPr>
            <w:r>
              <w:rPr>
                <w:rFonts w:ascii="Arial" w:cs="Arial" w:eastAsia="Arial" w:hAnsi="Arial"/>
                <w:sz w:val="17"/>
                <w:szCs w:val="17"/>
                <w:color w:val="auto"/>
              </w:rPr>
              <w:t>248,700</w:t>
            </w:r>
          </w:p>
        </w:tc>
        <w:tc>
          <w:tcPr>
            <w:tcW w:w="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446,084</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7"/>
                <w:szCs w:val="17"/>
                <w:i w:val="1"/>
                <w:iCs w:val="1"/>
                <w:color w:val="auto"/>
              </w:rPr>
              <w:t>Former Chief Financial</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Pr>
          <w:p>
            <w:pPr>
              <w:ind w:left="180"/>
              <w:spacing w:after="0"/>
              <w:rPr>
                <w:sz w:val="20"/>
                <w:szCs w:val="20"/>
                <w:color w:val="auto"/>
              </w:rPr>
            </w:pPr>
            <w:r>
              <w:rPr>
                <w:rFonts w:ascii="Arial" w:cs="Arial" w:eastAsia="Arial" w:hAnsi="Arial"/>
                <w:sz w:val="17"/>
                <w:szCs w:val="17"/>
                <w:i w:val="1"/>
                <w:iCs w:val="1"/>
                <w:color w:val="auto"/>
              </w:rPr>
              <w:t>Officer</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Dr. Eric Guichard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247,386</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73,350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505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ind w:left="20"/>
        <w:spacing w:after="0" w:line="224" w:lineRule="auto"/>
        <w:rPr>
          <w:sz w:val="20"/>
          <w:szCs w:val="20"/>
          <w:color w:val="auto"/>
        </w:rPr>
      </w:pPr>
      <w:r>
        <w:rPr>
          <w:rFonts w:ascii="Arial" w:cs="Arial" w:eastAsia="Arial" w:hAnsi="Arial"/>
          <w:sz w:val="17"/>
          <w:szCs w:val="17"/>
          <w:i w:val="1"/>
          <w:iCs w:val="1"/>
          <w:color w:val="auto"/>
        </w:rPr>
        <w:t>Vice President and</w:t>
      </w:r>
    </w:p>
    <w:p>
      <w:pPr>
        <w:ind w:left="180"/>
        <w:spacing w:after="0" w:line="215" w:lineRule="auto"/>
        <w:rPr>
          <w:sz w:val="20"/>
          <w:szCs w:val="20"/>
          <w:color w:val="auto"/>
        </w:rPr>
      </w:pPr>
      <w:r>
        <w:rPr>
          <w:rFonts w:ascii="Arial" w:cs="Arial" w:eastAsia="Arial" w:hAnsi="Arial"/>
          <w:sz w:val="17"/>
          <w:szCs w:val="17"/>
          <w:i w:val="1"/>
          <w:iCs w:val="1"/>
          <w:color w:val="auto"/>
        </w:rPr>
        <w:t>General Manager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TCAD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in this column represent regular salary, holiday pay and vacation pay.</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in this column represents a signing bonus payment to Mr. Swyt in connection with his commencement of employment.</w:t>
      </w:r>
    </w:p>
    <w:p>
      <w:pPr>
        <w:spacing w:after="0" w:line="14"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grant-date fair value of awards granted to each individual under our equity incentive plans, computed in accordance with ASC Topic 718. See Note 2 to our audited consolidated financial statements included elsewhere in this prospectus for a discussion of the assumptions we made in determining the grant-date fair value of our equity awards.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in this column represent the applicable service provider’s total annual performance-based cash bonus for the year ended December 31, 2021.</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one half of the aggregate severance payment due to Dr. Taheri pursuant to the terms of Dr. Taheri’s Separation Agreement as finally settled upon entry into his offer letter dated November 23, 2021, as described further below.</w:t>
      </w:r>
    </w:p>
    <w:p>
      <w:pPr>
        <w:ind w:left="340" w:right="20" w:hanging="332"/>
        <w:spacing w:after="0" w:line="251" w:lineRule="auto"/>
        <w:tabs>
          <w:tab w:leader="none" w:pos="327" w:val="left"/>
        </w:tabs>
        <w:numPr>
          <w:ilvl w:val="0"/>
          <w:numId w:val="59"/>
        </w:numPr>
        <w:rPr>
          <w:rFonts w:ascii="Arial" w:cs="Arial" w:eastAsia="Arial" w:hAnsi="Arial"/>
          <w:sz w:val="14"/>
          <w:szCs w:val="14"/>
          <w:color w:val="auto"/>
        </w:rPr>
      </w:pPr>
      <w:r>
        <w:rPr>
          <w:rFonts w:ascii="Arial" w:cs="Arial" w:eastAsia="Arial" w:hAnsi="Arial"/>
          <w:sz w:val="14"/>
          <w:szCs w:val="14"/>
          <w:color w:val="auto"/>
        </w:rPr>
        <w:t>Dr. Taheri served as our Chief Executive Officer, Chief Technology Officer, and Executive Vice President of Products until August 2021, and then again served as our Chief Executive Officer beginning in November 2021.</w:t>
      </w: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the pro rata salary amount earned by Mr. Swyt following his commencement of service with us in June 2021. Mr. Swyt departed on January 5, 2022.</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setting executive base salaries and bonuses,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us. We do not target a specific competitive position or a specific mix of compensation among base salary or bonus.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Our Named Executive Officers and Potential Payments Upon Termination or Change of Control</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Below are descriptions of our agreements with our named executive officers. The agreements generally provide for at-will employment and set forth the executive officer’s initial base salary and eligibility for employee benefits. Furthermore, each of our executive officers has executed a form of our standard proprietary information and inventions assignment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Dr. Babak A. Taheri</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entered into an offer letter agreement with Dr. Taheri, dated November 23, 2021, as amended on November 16, 2022, to serve in the position of Chief Executive Officer. This offer letter provides for an annual base salary of $400,000 and eligibility to receive an annual cash bonus in an amount ranging from $62,000 to $800,000, based upon the achievement of certain company net profit objectives, which were revised in November 2022.</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Dr. Taheri’s offer letter provides that he will be granted a number of RSUs ranging from 87,000 to 200,000 RSUs annually, based on the total amount of our annual bookings. These annual RSU awards will each be subject to vesting over four years (25% per year), with additional details to be set forth in the applicable award agreements. In addition, the offer letter provides that if we undergo an initial public offering, including this offering, Dr. Taheri will be granted 700,000 to 900,000 additional RSUs depending on the date of the initial public offering. The terms of Dr. Taheri’s equity awards are described in more detail under “—Outstanding Equity Awards at 2021 Year End.”</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Dr. Taheri’s offer letter provides that if we terminate his employment without “cause” or he resigns from employment with “good reason” (as such terms are defined in his offer letter), Dr. Taheri will be entitled to (i) a cash payment equal to 15 months of his annual base salary and annual bonus at target level at the rate in effect immediately prior to his separation date, (ii) full payment of COBRA premiums for Dr. Taheri and his eligible dependents for 12 months, and (iii) full acceleration of the Time-Based Requirement applicable to each outstanding and unvested equity award that would have vested during the 12-month period following his separation date, and the lapse of any forfeiture restrictions or rights on repurchase thereon. In addition, if he is terminated by us under these circumstances within three months prior to or 12 months following a change in control, then each of Dr. Taheri’s outstanding and unvested equity awards will automatically become fully vested and, if applicable, exercisable, and any forfeiture restrictions or rights on repurchase will lapse.</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offer letter also notes that Dr. Taheri entered into a separation and release agreement with us on September 1, 2021, in connection with his resignation in August 2021, but that such agreement is null and void as of November 24, 2021 as a result of his renewed service as our Chief Executive Officer. In connection with the termination of this separation agreement, any unvested RSUs granted to Dr. Taheri prior to August 2021 are treated as granted as of their original grant date and resumed vesting in accordance with their original vesting schedules, and Dr. Taheri’s service between the effective date of the separation agreement and November 24, 2021 is credited as vesting service under such RSUs.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and Release Agreement with Dr. Babak A. Taheri</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entered into a confidential separation and release agreement with Dr. Taheri on September 1, 2021 that provided Dr. Taheri with certain severance benefits in connection with his resignation from his position as a director, Chief Technology Officer and Chief Executive Officer of the company. In consideration of Dr. Taheri’s execution of a release in the company’s favor and agreement to be bound by the conditions of the separation agreement, we agreed (a) to pay Dr. Taheri $360,000, or the Severance Amount, half of which was payable in September 2021 and the remainder of which was payable on or about February 28, 2022 and (b) to pay the entire monthly COBRA premiums for Dr. Taheri and his dependents for the months of September 2021 through February 2022. In addition, the agreement states that Dr. Taheri had service vested in 157,500 RSUs as of his termination date, but that none of these RSUs will fully vest until the occurrence of a liquidity event (as defined in the award agreements underlying such RSUs). Furthermore, the agreement provides that Dr. Taheri will forfeit, as of his separation date, all then-unvested RSUs, and that he will also forfeit all 157,500 service vested RSUs if we do not experience a liquidity event before their applicable expiration dates.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noted above, this agreement was rendered null and void as of November 24, 2021 in connection with Dr. Taheri’s renewed service as our Chief Executive Officer. Dr. Taheri received and will retain the initial $180,000 of the Severance Amount and did not receive COBRA premiums through February 2022, as he was reinstated as our Chief Executive Officer within three months of his departure date and his November 2021 offer letter rendered the separation agreement null and void.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Gregory F. Swyt</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entered into an offer letter agreement with Mr. Swyt, dated May 21, 2021, to serve in the position of Chief Financial Officer. This offer letter provides for an annual base salary of $310,000 and eligibility to receive an annual bonus with an estimated value equal to 45% of his annual salary based upon the achievement of individual and corporate goals. In addition, the offer letter provides for a sign-on bonus equal to $40,000, payable in two tranches: $20,000 paid 90 days after his hire date and $20,000 paid six months after his hire date.</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Mr. Swyt’s offer letter also provided for an initial grant of 60,000 RSUs, subject to our board’s approval, which vested as to 25% per year over a four-year period, subject to Mr. Swyt’s continuous service with us through each such vesting date. Mr. Swyt was not entitled to any cash severance entitlement under his offer letter.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Mr. Swyt terminated employment with us on January 5, 2022. Mr. Swyt did not receive any severance in connection with his departure from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Dr. Eric Guichard</w:t>
      </w:r>
    </w:p>
    <w:p>
      <w:pPr>
        <w:spacing w:after="0" w:line="3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We entered into an offer letter agreement with Dr. Guichard, dated May 1, 2017, to serve in the position of Vice President of Applications, TCAD Division. This offer letter provides for an annual base salary of $210,080 and eligibility to participant in our annual bonus plan, with his bonus awarded based on the achievement of corporate and individual goals. Dr. Guichard’s offer letter does not include a description of an equity grant and Dr. Guichard is not entitled to any severance benefits under his offer letter.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Robert McMullan</w:t>
      </w:r>
    </w:p>
    <w:p>
      <w:pPr>
        <w:spacing w:after="0" w:line="31"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We entered into an offer letter agreement with Mr. McMullan, dated January 27, 2022, as amended on November 16, 2022, to serve in the position of Chief Financial Officer. This offer letter provides for an annual base salary of $250,000 and eligibility to receive an annual bonus with an estimated value equal to 50% of his annual salary based upon the achievement of individual and corporate goals, which were amended in November 2022. In addition, the offer letter provides for a sign-on bonus of 5,000 RSUs which vested six months after his hire date and an additional 5,000 RSUs which vest nine months after his hire date. Mr. McMullan’s offer letter also provides for an initial grant of 90,000 RSUs, subject to our board’s approval, which vest over four years, vesting as to 25% after one year with the remaining 75% vesting quarterly over the following three years, subject to Mr. McMullan’s continuous service with us through each such vesting date, and subject to acceleration in connection with the Executive Change in Control Plan (as defined below).</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Mr. McMullan’s offer letter provides that if we terminate his employment without “cause” (as such term is defined in his offer letter), Mr. McMullan will be entitled to (i) a cash payment equal to 12 months of his annual base salary and pro-rated annual bonus at target level at the rate in effect immediately prior to his separation date and (ii) COBRA coverage as required under applicable laws.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Change in Control Plan</w:t>
      </w:r>
    </w:p>
    <w:p>
      <w:pPr>
        <w:spacing w:after="0" w:line="3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We believe that reasonable severance benefits for our executive officers are important because it may be difficult for them to find comparable employment within a short period of time. We also believe that it is important to protect our executive officers in the event of a change of control transaction as a result of which such officers might have their employment terminated. In addition, we believe that the interests of management should be aligned with those of our stockholders as much as possible, and we believe that providing protection upon a change of control is an appropriate counter to any disincentive such officers might otherwise perceive in regard to transactions that may be in the best interest of our stockholders.</w:t>
      </w:r>
    </w:p>
    <w:p>
      <w:pPr>
        <w:spacing w:after="0" w:line="138"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Accordingly, in April 2022, our board of directors approved an executive change in control plan, or the Executive Change in Control Plan, which became effective on April 22, 2022, for our executive officers, including Dr. Taheri, Dr. Guichard and Mr. McMullan. The Executive Change in Control Plan will provide for vesting acceleration benefits in the event of a qualifying initial public offering including this offering and severance benefits upon a qualifying termination of employment in connection with a change of control, as described below. To the extent an executive participates in any other Company plan or has entered into another agreement with us that also provides for one or more of the severance benefits provided for in the Executive Change in Control Plan, then the executive will be entitled to receive either (i) the payments or benefits under such other plan or agreement, or (ii) the payments or benefits provided in the Executive Change in Control Plan, whichever results in receipt by the executive on an after-tax basis of the greater payment or benefit, and provided that the executive will not receive any duplication of payments or benefits. The initial term of the Executive Change in Control Plan ends on April 22, 2027, after which time the Executive Change in Control Plan will automatically renew for successive additional terms of five years on the same terms and conditions, unless it is either terminated or amended.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Benefits</w:t>
      </w:r>
    </w:p>
    <w:p>
      <w:pPr>
        <w:spacing w:after="0" w:line="3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Upon the closing of an initial public offering, including this offering, each specified executive officer will be entitled to accelerated time-based vesting of the unvested portion of the executive officer’s restricted stock unit awards outstanding as of the closing of the offering, in accordance with the percentages set forth in the following table:</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EXECUTIVE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IPO VESTING ACCELERATION PERCENTAGE</w:t>
            </w:r>
          </w:p>
        </w:tc>
      </w:tr>
      <w:tr>
        <w:trPr>
          <w:trHeight w:val="222"/>
        </w:trPr>
        <w:tc>
          <w:tcPr>
            <w:tcW w:w="56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CEO, CFO and CTO</w:t>
            </w:r>
          </w:p>
        </w:tc>
        <w:tc>
          <w:tcPr>
            <w:tcW w:w="5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50%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All other executives</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25%</w:t>
            </w:r>
          </w:p>
        </w:tc>
      </w:tr>
    </w:tbl>
    <w:p>
      <w:pPr>
        <w:spacing w:after="0" w:line="180" w:lineRule="exact"/>
        <w:rPr>
          <w:sz w:val="20"/>
          <w:szCs w:val="20"/>
          <w:color w:val="auto"/>
        </w:rPr>
      </w:pPr>
    </w:p>
    <w:p>
      <w:pPr>
        <w:jc w:val="both"/>
        <w:ind w:right="40"/>
        <w:spacing w:after="0" w:line="284" w:lineRule="auto"/>
        <w:rPr>
          <w:sz w:val="20"/>
          <w:szCs w:val="20"/>
          <w:color w:val="auto"/>
        </w:rPr>
      </w:pPr>
      <w:r>
        <w:rPr>
          <w:rFonts w:ascii="Arial" w:cs="Arial" w:eastAsia="Arial" w:hAnsi="Arial"/>
          <w:sz w:val="17"/>
          <w:szCs w:val="17"/>
          <w:color w:val="auto"/>
        </w:rPr>
        <w:t>The unvested portion of all restricted stock unit awards that are not subject to acceleration of Time-Based Requirement will remain outstanding and subject to continued time-based vesting.</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60"/>
          </w:cols>
          <w:pgMar w:left="320" w:top="125" w:right="31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Benefits</w:t>
      </w:r>
    </w:p>
    <w:p>
      <w:pPr>
        <w:spacing w:after="0" w:line="3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Under the Executive Change in Control Plan, if any executive officer is either employed at the time of a “change in control” or the executive officer’s employment is terminated by the executive officer with “good reason” or by us without “cause” (as such terms are defined in the Executive Change in Control Plan) within three months prior to, on or within 12 months following a change in control, then the executive officer will be entitled to accelerated time-based vesting of the unvested portion of</w:t>
      </w:r>
    </w:p>
    <w:p>
      <w:pPr>
        <w:spacing w:after="0" w:line="65"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executive officer’s outstanding restricted stock unit awards in accordance with the percentages set forth in the following table, provided that, in each case, the named executive officer delivers a signed release of claims in our favor that becomes effective and irrevocable within 60 days following such executive officer’s termination of employment: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EXECUTIVE</w:t>
            </w:r>
          </w:p>
        </w:tc>
        <w:tc>
          <w:tcPr>
            <w:tcW w:w="562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4"/>
                <w:szCs w:val="14"/>
                <w:b w:val="1"/>
                <w:bCs w:val="1"/>
                <w:color w:val="auto"/>
              </w:rPr>
              <w:t>SEVERANCE VESTING ACCELERATION PERCENTAGE</w:t>
            </w:r>
          </w:p>
        </w:tc>
      </w:tr>
      <w:tr>
        <w:trPr>
          <w:trHeight w:val="222"/>
        </w:trPr>
        <w:tc>
          <w:tcPr>
            <w:tcW w:w="56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CEO, CFO and CTO</w:t>
            </w:r>
          </w:p>
        </w:tc>
        <w:tc>
          <w:tcPr>
            <w:tcW w:w="5620" w:type="dxa"/>
            <w:vAlign w:val="bottom"/>
            <w:tcBorders>
              <w:bottom w:val="single" w:sz="8" w:color="auto"/>
              <w:right w:val="single" w:sz="8" w:color="auto"/>
            </w:tcBorders>
            <w:shd w:val="clear" w:color="auto" w:fill="CCEEFF"/>
          </w:tcPr>
          <w:p>
            <w:pPr>
              <w:jc w:val="right"/>
              <w:ind w:right="2519"/>
              <w:spacing w:after="0"/>
              <w:rPr>
                <w:sz w:val="20"/>
                <w:szCs w:val="20"/>
                <w:color w:val="auto"/>
              </w:rPr>
            </w:pPr>
            <w:r>
              <w:rPr>
                <w:rFonts w:ascii="Arial" w:cs="Arial" w:eastAsia="Arial" w:hAnsi="Arial"/>
                <w:sz w:val="17"/>
                <w:szCs w:val="17"/>
                <w:color w:val="auto"/>
              </w:rPr>
              <w:t>100%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All other executives</w:t>
            </w:r>
          </w:p>
        </w:tc>
        <w:tc>
          <w:tcPr>
            <w:tcW w:w="5620" w:type="dxa"/>
            <w:vAlign w:val="bottom"/>
            <w:tcBorders>
              <w:bottom w:val="single" w:sz="8" w:color="auto"/>
              <w:right w:val="single" w:sz="8" w:color="auto"/>
            </w:tcBorders>
          </w:tcPr>
          <w:p>
            <w:pPr>
              <w:jc w:val="right"/>
              <w:ind w:right="2579"/>
              <w:spacing w:after="0"/>
              <w:rPr>
                <w:sz w:val="20"/>
                <w:szCs w:val="20"/>
                <w:color w:val="auto"/>
              </w:rPr>
            </w:pPr>
            <w:r>
              <w:rPr>
                <w:rFonts w:ascii="Arial" w:cs="Arial" w:eastAsia="Arial" w:hAnsi="Arial"/>
                <w:sz w:val="17"/>
                <w:szCs w:val="17"/>
                <w:color w:val="auto"/>
              </w:rPr>
              <w:t>50%</w:t>
            </w:r>
          </w:p>
        </w:tc>
      </w:tr>
    </w:tbl>
    <w:p>
      <w:pPr>
        <w:spacing w:after="0" w:line="18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If an executive officer’s employment is terminated in any circumstance other than those addressed above, then such executive officer will not be entitled to any benefits under the Executive Change in Control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4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and vision insurance plans and 401(k) plan (as described below), in each case on the same basis as all of our other employees. We currently do not contribute to a retirement plan on behalf of employees other than our 401(k)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4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None of our named executive officers participates in or has account balances in nonqualified defined contribution plans or other nonqualified deferred compensation plans maintained by us. Our board of directors may elect to provide our officers and other employees with nonqualified defined contribution or other nonqualified deferred compensation benefits in the future if it determines that doing so is in our best interests.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38"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We sponsor a qualified retirement plan that is intended to qualify for favorable tax treatment under Section 401(a) of the Internal Revenue Code of 1986, as amended, or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matching contributions under the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Incentive Plan</w:t>
      </w:r>
    </w:p>
    <w:p>
      <w:pPr>
        <w:spacing w:after="0" w:line="4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2014 Plan was initially adopted by our board of directors on January 23, 2014 and approved by our stockholders on January 24, 2014. The purpose of the 2014 Plan is to offer selected persons an opportunity to acquire a proprietary interest in our success by acquiring shares of our common stock.</w:t>
      </w:r>
    </w:p>
    <w:p>
      <w:pPr>
        <w:spacing w:after="0" w:line="13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2014 Plan permits the direct award or sale of shares and for the grant of nonstatutory stock options, restricted stock, stock appreciation rights, or SARs, RSUs and other stock awards to our employees, directors and consultants and any of our parents' or subsidiaries' employees and consultants. Incentive stock options, within the meaning of Section 422 of the Code, may also be granted but only to our employees and our parents' or subsidiaries' employees. We have only granted liquidity contingent RSUs under the 2014 Plan.</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the date of this prospectus, 8,000,000 shares of common stock have been authorized for issuance under the 2014 Plan.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and September 30, 2022, a total of 4,286,919 shares and 5,198,260 shares of common stock were subject to outstanding RSUs under the 2014 Plan. Shares subject to awards that are cancelled, forfeited, settled in cash or expire by their terms, and shares subject to awards that are used to pay withholding obligations or the exercise price of an option will become available for future awards under the 2014 Plan. Shares of common stock that have previously been issued under the 2014 Plan that are reacquired by us pursuant to a forfeiture provision will again become available for future issuance under the 2014 Plan.</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60"/>
          </w:cols>
          <w:pgMar w:left="320" w:top="125" w:right="3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committee appointed thereby administers the 2014 Plan. All actions of the board will be final and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all persons.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board may grant incentive and/or nonstatutory stock options under the 2014 Plan; provided that incentive stock options are only</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employees. The exercise price of options granted under the plan must be equal to or greater than 100% of the fair market value of our common stock on the date of grant. The term of an option may not exceed 10 years; provided, however, that an incentive stock option held by an optionee who owns more than 10% of the total combined voting power of all classes of our stock, any parent or any of our subsidiary corporations, may not have a term in excess of five years and must have an exercise price of at least 110% of the fair market value of our common stock on the grant date. The exercise price for an option may be paid in cash or check. In addition, the board may permit other forms of payment such as surrender of shares, services rendered, promissory note, cashless exercise, or pledge of shares. Subject to the provisions of the 2014 Plan, the board determines the remaining terms of the options (e.g., exercisability and vesting). The board may permit an optionee to exercise his or her option as to shares that have not vested. The optionee may exercise his or her option, to the extent vested, following termination of the optionee's service for the period specified in the award agreement, such period to be at least 30 days if termination is due to any reason other than cause, death or disability (or six months in the case of termination due to death or disability). However, in no event may an option be exercised later than the expiration of its term.</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offered under the 2014 Plan. The board will advise the offeree in writing of the terms, conditions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related to the offer, including the number of shares that such person will be entitled to purchase, the price to be paid (if any), and the time within which such person must accept such offer.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Under the 2014 Plan, RSUs give recipients the right to acquire a specified number of shares of stock (or cash amount)</w:t>
      </w:r>
      <w:r>
        <w:rPr>
          <w:rFonts w:ascii="Arial" w:cs="Arial" w:eastAsia="Arial" w:hAnsi="Arial"/>
          <w:sz w:val="17"/>
          <w:szCs w:val="17"/>
          <w:i w:val="1"/>
          <w:iCs w:val="1"/>
          <w:color w:val="auto"/>
        </w:rPr>
        <w:t xml:space="preserve"> </w:t>
      </w:r>
      <w:r>
        <w:rPr>
          <w:rFonts w:ascii="Arial" w:cs="Arial" w:eastAsia="Arial" w:hAnsi="Arial"/>
          <w:sz w:val="17"/>
          <w:szCs w:val="17"/>
          <w:color w:val="auto"/>
        </w:rPr>
        <w:t>at a future date upon the satisfaction of certain conditions, including any performance conditions or other vesting arrangements, established by the board of directors and as set forth in a RSU award agreement. An RSU award may be settled by cash, delivery of stock, or a combination of cash and stock as deemed appropriate by the board of directors. Recipients of RSUs generally will have no voting or dividend rights prior to the time the vesting conditions are satisfied and the award is settled. At the board of directors’ discretion and as set forth in the RSU award agreement, RSUs may provide for the right to dividend equivalents.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granted RSUs to certain employees that will vest on the first date upon which both the “time-based requirement” and the “liquidity event requirement” (as such terms are defined in the applicable award agreement) are satisfied with respect to that particular RSU; provided, that such vesting conditions are satisfied within 10 years of the grant date. The liquidity event requirement will be satisfied as to any then-outstanding RSUs on the first to occur of: (1) a “change in control” (as defined in the award agreement) pursuant to which the RSUs (or the shares subject to the RSUs) will be settled for cash and/or readily tradeable securities or (2) an underwritten initial public offering, including the consummation of this offering.</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time-based requirement may be satisfied in one of three ways, depending on the form of award agreement under which the RSUs have been issued. Under our standard form of award agreement, the time-based requirement will be satisfied in installments as follows: 25% of the RSUs will have the time-based requirement satisfied on the one-year anniversary of the vesting start date and 1/16th of the RSUs will have the time-based requirement satisfied in equal quarterly installments during the next 12 quarters thereafter, subject to the participant’s continuous service through each such vesting date. Certain RSUs have been granted to executives on a second form of award agreement with the same time-based requirement described in the preceding sentence, provided that time-based vesting is subject to acceleration in accordance with the terms of the Executive Change in Control Plan as described above under the heading “—Executive Change in Control Plan.” Certain other RSUs have been granted on a third form of award agreement, pursuant to which the RSUs are deemed to have satisfied the time-based requirement as of the grant date.</w:t>
      </w: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Upon termination of employment, RSUs terminate to the extent the time-based requirement has not been satisfied. Even if the time-based requirement has been satisfied, if the liquidity event requirement is not satisfied before the expiration date of the RSUs, the RSUs will automatically terminate on such date.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Unrestricted Stock Awards and SARs</w:t>
      </w:r>
      <w:r>
        <w:rPr>
          <w:rFonts w:ascii="Arial" w:cs="Arial" w:eastAsia="Arial" w:hAnsi="Arial"/>
          <w:sz w:val="17"/>
          <w:szCs w:val="17"/>
          <w:color w:val="auto"/>
        </w:rPr>
        <w:t>. We may also grant SARs and other forms of award that are based in whole or in part on shares or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thereof. SARs generally provide for payments to the recipient based upon increases in the price of our common stock over the exercise price of the SAR. Our board determines the exercise prices of SARs, which cannot be less than 100% of the fair market value of our common stock on the date of grant. A SAR granted under the 2014 Plan vests at the rate specified in the SAR agreement as determined by the board and may have a maximum term of 10 years. Upon the exercise of a SAR, we will pay the participant an amount in stock, cash, or a combination of stock and cash as determined by the board, equal to the product of (1) the excess of the per share fair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market value of our common stock on the date of exercise over the exercise price, multiplied by (2) the number of shares of common stock with respect to which the SAR is exercised. We have not granted any SARs or other forms of share-based awards under the 2014 Plan.</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Transferability/forfeiture</w:t>
      </w:r>
      <w:r>
        <w:rPr>
          <w:rFonts w:ascii="Arial" w:cs="Arial" w:eastAsia="Arial" w:hAnsi="Arial"/>
          <w:sz w:val="17"/>
          <w:szCs w:val="17"/>
          <w:color w:val="auto"/>
        </w:rPr>
        <w:t>. Unless determined otherwise by the board, the 2014 Plan generally does not allow for awards to be transferred in any</w:t>
      </w:r>
      <w:r>
        <w:rPr>
          <w:rFonts w:ascii="Arial" w:cs="Arial" w:eastAsia="Arial" w:hAnsi="Arial"/>
          <w:sz w:val="17"/>
          <w:szCs w:val="17"/>
          <w:i w:val="1"/>
          <w:iCs w:val="1"/>
          <w:color w:val="auto"/>
        </w:rPr>
        <w:t xml:space="preserve"> </w:t>
      </w:r>
      <w:r>
        <w:rPr>
          <w:rFonts w:ascii="Arial" w:cs="Arial" w:eastAsia="Arial" w:hAnsi="Arial"/>
          <w:sz w:val="17"/>
          <w:szCs w:val="17"/>
          <w:color w:val="auto"/>
        </w:rPr>
        <w:t>manner other than by will or the laws of descent and distribution. Notwithstanding the foregoing, to the extent permitted by the board, a nonqualified option may be transferred to a revocable trust or as permitted by California securities law and Rule 701 of the Securities Act. Shares awarded or sold under the 2014 Plan or received upon the exercise of options may be subject to certain forfeiture conditions, rights to repurchase, rights of first refusal, market stand-off or other transfer restrictions as the board may determine and as set forth in the applicable award agreement.</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In the event that any dividend or other distribution (whether in the form of cash, shares, other securities,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spin-off, combination, repurchase, or exchange of our shares or other securities, or other change in our corporate structure affecting the shares occurs, the board will adjust the number of shares that may be delivered under the 2014 Plan and/or the number and price of shares covered by each outstanding award.</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we are a party to a merger or consolidation, or in the event of a sale of all or substantially all of our stock or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awards under the 2014 Plan will be subject to the agreement governing the transaction. The terms of such agreement may provide that</w:t>
      </w:r>
    </w:p>
    <w:p>
      <w:pPr>
        <w:spacing w:after="0" w:line="1"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outstanding awards continue if we are the surviving entity, (b) the 2014 Plan and outstanding awards are assumed by the surviving entity,</w:t>
      </w:r>
    </w:p>
    <w:p>
      <w:pPr>
        <w:spacing w:after="0" w:line="7" w:lineRule="exact"/>
        <w:rPr>
          <w:rFonts w:ascii="Arial" w:cs="Arial" w:eastAsia="Arial" w:hAnsi="Arial"/>
          <w:sz w:val="17"/>
          <w:szCs w:val="17"/>
          <w:color w:val="auto"/>
        </w:rPr>
      </w:pPr>
    </w:p>
    <w:p>
      <w:pPr>
        <w:ind w:left="280" w:hanging="272"/>
        <w:spacing w:after="0"/>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awards are substituted for awards of the surviving entity or its parent, (d) acceleration of vesting followed by cancellation of the awards, or</w:t>
      </w:r>
    </w:p>
    <w:p>
      <w:pPr>
        <w:spacing w:after="0" w:line="7" w:lineRule="exact"/>
        <w:rPr>
          <w:rFonts w:ascii="Arial" w:cs="Arial" w:eastAsia="Arial" w:hAnsi="Arial"/>
          <w:sz w:val="17"/>
          <w:szCs w:val="17"/>
          <w:color w:val="auto"/>
        </w:rPr>
      </w:pPr>
    </w:p>
    <w:p>
      <w:pPr>
        <w:ind w:left="260" w:hanging="252"/>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settlement of the intrinsic value of awards followed by cancellation of the awards, in each case without the award holder’s consent.</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Plan amendments and termination</w:t>
      </w:r>
      <w:r>
        <w:rPr>
          <w:rFonts w:ascii="Arial" w:cs="Arial" w:eastAsia="Arial" w:hAnsi="Arial"/>
          <w:sz w:val="17"/>
          <w:szCs w:val="17"/>
          <w:color w:val="auto"/>
        </w:rPr>
        <w:t>. Our board may at any time amend, alter, suspend or terminate the 2014 Plan. However, the board will obtain</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approval of any 2014 Plan amendment to the extent necessary and desirable to comply with applicable law. A termination or amendment of the 2014 Plan will not impair the rights of any participant under the 2014 Plan, unless mutually agreed to otherwise by such participant and us.</w:t>
      </w:r>
    </w:p>
    <w:p>
      <w:pPr>
        <w:spacing w:after="0" w:line="3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Upon the completion of this offering, the 2014 Plan will be terminated and no shares of our common stock will remain available for future issuance under the 2014 Plan. Shares originally reserved for issuance under the 2014 Plan but which are not issued or subject to outstanding awards on the effective date of the 2023 Plan, and shares subject to outstanding awards under the 2014 Plan on the effective date of the 2023 Plan that are subsequently forfeited or terminated for any reason before being exercised or settled, including shares subject to vesting restrictions that are subsequently forfeited, will become available for awards under the 2023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Stock Incentive Plan</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 2022, our board of directors approved and adopted, subject to stockholder approval, the 2023 Plan, and our stockholders approved the 2023 Plan on , 2023. The 2023 Plan will become effective upon the effectiveness of the registration statement of which this</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prospectus forms a part. This summary is not a complete description of all provisions of the 2023 Plan and is qualified in its entirety by reference to the 2023 Plan, which will be filed as an exhibit to the registration statement of which this prospectus is a part.</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Stock Awards</w:t>
      </w:r>
      <w:r>
        <w:rPr>
          <w:rFonts w:ascii="Arial" w:cs="Arial" w:eastAsia="Arial" w:hAnsi="Arial"/>
          <w:sz w:val="17"/>
          <w:szCs w:val="17"/>
          <w:color w:val="auto"/>
        </w:rPr>
        <w:t>. The 2023 Plan provides for incentive stock options, or ISOs, non-qualified stock options, or NSOs, restricted share awards,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SARs, other stock-based awards, performance-based stock awards, (collectively, “stock awards”) and cash-based awards (stock awards and cash-based awards are collectively referred to as “awards”). ISOs may be granted only to our employees, including officers, and the employees of our parent or subsidiaries. All other awards may be granted to our employees, officers, our non-employee directors, and consultants and the employees and consultants of our subsidiaries, and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aggregate number shares that may be issued pursuant to stock awards under the 2023 Plan will not exceed the sum of</w:t>
      </w:r>
    </w:p>
    <w:p>
      <w:pPr>
        <w:spacing w:after="0" w:line="23" w:lineRule="exact"/>
        <w:rPr>
          <w:sz w:val="20"/>
          <w:szCs w:val="20"/>
          <w:color w:val="auto"/>
        </w:rPr>
      </w:pPr>
    </w:p>
    <w:p>
      <w:pPr>
        <w:jc w:val="both"/>
        <w:ind w:firstLine="8"/>
        <w:spacing w:after="0" w:line="251" w:lineRule="auto"/>
        <w:tabs>
          <w:tab w:leader="none" w:pos="1221" w:val="left"/>
        </w:tabs>
        <w:numPr>
          <w:ilvl w:val="0"/>
          <w:numId w:val="63"/>
        </w:numPr>
        <w:rPr>
          <w:rFonts w:ascii="Arial" w:cs="Arial" w:eastAsia="Arial" w:hAnsi="Arial"/>
          <w:sz w:val="17"/>
          <w:szCs w:val="17"/>
          <w:color w:val="auto"/>
        </w:rPr>
      </w:pPr>
      <w:r>
        <w:rPr>
          <w:rFonts w:ascii="Arial" w:cs="Arial" w:eastAsia="Arial" w:hAnsi="Arial"/>
          <w:sz w:val="17"/>
          <w:szCs w:val="17"/>
          <w:color w:val="auto"/>
        </w:rPr>
        <w:t>shares, plus (x) any shares underlying outstanding awards under the 2014 Plan that are subsequently forfeited or terminated for any reason before being exercised or becoming vested, not issued because an award is settled in cash, or withheld or reacquired to satisfy the applicable exercise, or purchase price, or a tax withholding obligation, plus (y) the number of reserved shares not issued or subject to outstanding grants under the 2014 Plan, on the effective date of the 2023 Plan, plus (z) an annual increase on the first day of each calendar year, for a period of not more than 10 years, beginning on January 1, 2024 and ending on (and including) January 1, 2033, in an amount equal to the lesser of</w:t>
      </w:r>
    </w:p>
    <w:p>
      <w:pPr>
        <w:spacing w:after="0" w:line="4" w:lineRule="exact"/>
        <w:rPr>
          <w:sz w:val="20"/>
          <w:szCs w:val="20"/>
          <w:color w:val="auto"/>
        </w:rPr>
      </w:pPr>
    </w:p>
    <w:p>
      <w:pPr>
        <w:ind w:firstLine="8"/>
        <w:spacing w:after="0" w:line="264" w:lineRule="auto"/>
        <w:tabs>
          <w:tab w:leader="none" w:pos="123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of our outstanding shares on the last day of the immediately preceding calendar year or (ii) such lesser amount (including zero) that the Compensation Committee determines for purposes of the annual increase for that calendar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restricted shares or shares issued upon the exercise of options are forfeited, then such shares will again become available for awards under the 2023 Plan. If stock units, options, or SARs are forfeited or terminate for any reason before being exercised or settled, or an award is settled in cash without the delivery of shares to the holder, then the corresponding shares will again become available for awards under the 2023 Plan.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shares withheld to satisfy the exercise price or tax withholding obligation pursuant to any award of options or SARs will again become available for awards under the 2023 Plan. If stock units or SARs are settled, then only the number of shares (if any) actually issued in settlement of such stock units or SARs will reduce the number of shares available under the 2023 Plan, and the balance (including any shares withheld to cover taxes) will again become available for awards under the 2023 Plan.</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Shares issued under the 2023 Plan will be authorized but unissued shares, treasury shares, or previously issued shares. As of the date hereof, no awards have been granted and no shares have been issued under the 2023 Plan.</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Incentive Stock Option Limit</w:t>
      </w:r>
      <w:r>
        <w:rPr>
          <w:rFonts w:ascii="Arial" w:cs="Arial" w:eastAsia="Arial" w:hAnsi="Arial"/>
          <w:sz w:val="17"/>
          <w:szCs w:val="17"/>
          <w:color w:val="auto"/>
        </w:rPr>
        <w:t>. The maximum number of shares that may be issued upon the exercise of ISOs under the 2023 Plan is equal to five</w:t>
      </w:r>
      <w:r>
        <w:rPr>
          <w:rFonts w:ascii="Arial" w:cs="Arial" w:eastAsia="Arial" w:hAnsi="Arial"/>
          <w:sz w:val="17"/>
          <w:szCs w:val="17"/>
          <w:i w:val="1"/>
          <w:iCs w:val="1"/>
          <w:color w:val="auto"/>
        </w:rPr>
        <w:t xml:space="preserve"> </w:t>
      </w:r>
      <w:r>
        <w:rPr>
          <w:rFonts w:ascii="Arial" w:cs="Arial" w:eastAsia="Arial" w:hAnsi="Arial"/>
          <w:sz w:val="17"/>
          <w:szCs w:val="17"/>
          <w:color w:val="auto"/>
        </w:rPr>
        <w:t>times the number of shares specified in subpart (w) of the 2023 Plan’s share reserve formula as described above under the heading “—Share Reserve”, plus, to the extent allowable under Section 422 of the Code, any shares that become available for issuance under the 2023 Plan on account of (i) an award being forfeited before all underlying shares have been issued or settled, or (ii) a portion of the shares underlying an award being withheld to satisfy the exercise price or tax withholding of such award.</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Grants to Outside Directors</w:t>
      </w:r>
      <w:r>
        <w:rPr>
          <w:rFonts w:ascii="Arial" w:cs="Arial" w:eastAsia="Arial" w:hAnsi="Arial"/>
          <w:sz w:val="17"/>
          <w:szCs w:val="17"/>
          <w:color w:val="auto"/>
        </w:rPr>
        <w:t>. The sum of (i) the grant date fair value for financial reporting purposes of any awards granted during any calendar year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2023 Plan to an outside director as compensation for services as an outside director and (ii) any cash fees paid by us to such outside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director during such calendar year for service on our board of directors, may not exceed $ , or, in the calendar year in which the outside director is first appointed or elect to our board, $ .</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2023 Plan will be administered by the Compensation Committee as appointed by our board of directors, or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acting as the Compensation Committee. Subject to the limitations set forth in the 2023 Plan, the Compensation Committee will have the authority to determine, among other things, to whom awards will be granted, the number of shares subject to awards, the term during which an option or SAR may be exercised and the rate at which the awards may vest or be earned, including any performance criteria to which they may be subject. The Compensation Committee also will have the authority to determine the consideration and methodology of payment for awards. To the extent permitted by applicable law, the board of directors or Compensation Committee may also authorize one or more of our officers to designate employees, other than officers under Section 16 of the Exchange Act, to receive awards and/or to determine the number of such awards to be received by such persons subject to a maximum total number of awards.</w:t>
      </w:r>
    </w:p>
    <w:p>
      <w:pPr>
        <w:spacing w:after="0" w:line="1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Repricing; Cancellation and Re-Grant of Stock Awards</w:t>
      </w:r>
      <w:r>
        <w:rPr>
          <w:rFonts w:ascii="Arial" w:cs="Arial" w:eastAsia="Arial" w:hAnsi="Arial"/>
          <w:sz w:val="17"/>
          <w:szCs w:val="17"/>
          <w:color w:val="auto"/>
        </w:rPr>
        <w:t>. The Compensation Committee will have the authority to modify outstanding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2023 Plan. Subject to the terms of the 2023 Plan, the Compensation Committee will have the authority to cancel any outstanding stock award in exchange for new stock awards, including awards having the same or a different exercise price cash, or other consideration, without stockholder approval but with the consent of any adversely affected participant.</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A stock option is the right to purchase a certain number of shares, at a certain exercise price, in the future. Under the 2023 Plan,</w:t>
      </w:r>
      <w:r>
        <w:rPr>
          <w:rFonts w:ascii="Arial" w:cs="Arial" w:eastAsia="Arial" w:hAnsi="Arial"/>
          <w:sz w:val="17"/>
          <w:szCs w:val="17"/>
          <w:i w:val="1"/>
          <w:iCs w:val="1"/>
          <w:color w:val="auto"/>
        </w:rPr>
        <w:t xml:space="preserve"> </w:t>
      </w:r>
      <w:r>
        <w:rPr>
          <w:rFonts w:ascii="Arial" w:cs="Arial" w:eastAsia="Arial" w:hAnsi="Arial"/>
          <w:sz w:val="17"/>
          <w:szCs w:val="17"/>
          <w:color w:val="auto"/>
        </w:rPr>
        <w:t>ISOs and NSOs are granted pursuant to stock option agreements adopted by the Compensation Committee. The Compensation Committee determines the exercise price for a stock option, within the terms and conditions of the 2023 Plan, provided that the exercise price of a stock option generally cannot be less than 100% of the fair market value of our shares on the date of grant. Options granted under the 2023 Plan vest at the rate specified by the Compensation Committee.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Stock options granted under the 2023 Plan generally must be exercised by the optionee before the earlier of the expiration of such option or the expiration of a specified period following the optionee’s termination of employment. The Compensation Committee determines the term of the stock options up to a maximum of 10 years. Each stock option agreement will also set forth the extent to which the option recipient will have the right to exercise the option following the termination of the recipient’s service with us, and the right to exercise the option of any executors or administrators of the award recipient’s estate or any person who has acquired such options directly from the award recipient by bequest or inheritance.</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Payment of the exercise price may be made in cash or, if provided for in the stock option agreement evidencing the award, (1) by surrendering, or attesting to the ownership of, shares which have already been owned by the optionee, (2) future services or services rendered to the company or its affiliates prior to the award, (3) by delivery of an irrevocable direction to a securities broker to sell shares and to deliver all or part of the sale proceeds to us in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payment of the aggregate exercise price, (4) by delivery of an irrevocable direction to a securities broker or lender to pledge shares and to deliver all or part of the loan proceeds to us in payment of the aggregate exercise price, (5) by a “net exercise” arrangement, (6) by delivering a full-recourse promissory note, or (7) by any other form that is consistent with applicable laws, regulations, and rules.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Tax Limitations on Incentive Stock Options</w:t>
      </w:r>
      <w:r>
        <w:rPr>
          <w:rFonts w:ascii="Arial" w:cs="Arial" w:eastAsia="Arial" w:hAnsi="Arial"/>
          <w:sz w:val="17"/>
          <w:szCs w:val="17"/>
          <w:color w:val="auto"/>
        </w:rPr>
        <w:t>. The aggregate fair market value, determined at the time of grant, of our shares with respect to ISOs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Restricted Share Awards</w:t>
      </w:r>
      <w:r>
        <w:rPr>
          <w:rFonts w:ascii="Arial" w:cs="Arial" w:eastAsia="Arial" w:hAnsi="Arial"/>
          <w:sz w:val="17"/>
          <w:szCs w:val="17"/>
          <w:color w:val="auto"/>
        </w:rPr>
        <w:t>. The terms of any awards of restricted shares under the 2023 Plan will be set forth in a restricted share agreement to be</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between us and the recipient. The Compensation Committee will determine the terms and conditions of such restricted share agreements, which need not be identical. A restricted share award may be subject to vesting requirements or transfer restrictions or both. Restricted shares may be issued for such consideration as the Compensation Committee may determine, including cash, cash equivalents, full recourse promissory notes, past services and future services. Award recipients who are granted restricted shares generally have all of the rights of a stockholder with respect to those shares, provided that dividends and other distributions will not be paid in respect of unvested shares unless otherwise determined by the Compensation Committee and, in such case, only once such unvested shares vest.</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Stock Unit Awards</w:t>
      </w:r>
      <w:r>
        <w:rPr>
          <w:rFonts w:ascii="Arial" w:cs="Arial" w:eastAsia="Arial" w:hAnsi="Arial"/>
          <w:sz w:val="17"/>
          <w:szCs w:val="17"/>
          <w:color w:val="auto"/>
        </w:rPr>
        <w:t>. Stock unit awards give recipients the right to acquire a specified number of shares (or cash amount) at a future date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certain conditions, including any vesting arrangement, established by the Compensation Committee and as set forth in a stock unit award agreement. A stock unit award may be settled by cash, delivery of shares, a combination of cash and stock as deemed appropriate by the Compensation Committee. Recipients of stock unit awards generally will have no voting or dividend rights prior to the time the vesting conditions are satisfied and the award is settled. At the Compensation Committee’s discretion and as set forth in the stock unit award agreement, stock units may provide for the right to dividend equivalents. Dividend equivalents may not be distributed prior to settlement of the stock unit to which the dividend equivalents pertain and the value of any dividend equivalents payable or distributable with respect to any unvested stock units that do not vest will be forfeited.</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SARs generally provide for payments to the recipient based upon increases in the price of shares over the 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SAR. The Compensation Committee determines the exercise price for a SAR, which generally cannot be less than 100% of the fair market value of shares on the date of grant. A SAR granted under the 2023 Plan vests at the rate specified in the SAR agreement as determined by the Compensation Committee. The Compensation Committee determines the term of SARs granted under the 2023 Plan. Upon the exercise of a SAR, we will pay the participant an amount in stock, cash, or a combination of shares and cash as determined by the Compensation Committee, equal to the product of (1) the excess of the per share fair market value of shares on the date of exercise over the exercise price, multiplied by (2) the number of shares with respect to which the SAR is exercised.</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Compensation Committee may grant other awards based in whole or in part by reference to our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will set the number of shares under the stock award and all other terms and conditions of such awards.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Cash-Based Awards. </w:t>
      </w:r>
      <w:r>
        <w:rPr>
          <w:rFonts w:ascii="Arial" w:cs="Arial" w:eastAsia="Arial" w:hAnsi="Arial"/>
          <w:sz w:val="17"/>
          <w:szCs w:val="17"/>
          <w:color w:val="auto"/>
        </w:rPr>
        <w:t>A cash-based award is denominated in cash. The Compensation Committee may grant cash-based awards in such number</w:t>
      </w:r>
      <w:r>
        <w:rPr>
          <w:rFonts w:ascii="Arial" w:cs="Arial" w:eastAsia="Arial" w:hAnsi="Arial"/>
          <w:sz w:val="17"/>
          <w:szCs w:val="17"/>
          <w:i w:val="1"/>
          <w:iCs w:val="1"/>
          <w:color w:val="auto"/>
        </w:rPr>
        <w:t xml:space="preserve"> </w:t>
      </w:r>
      <w:r>
        <w:rPr>
          <w:rFonts w:ascii="Arial" w:cs="Arial" w:eastAsia="Arial" w:hAnsi="Arial"/>
          <w:sz w:val="17"/>
          <w:szCs w:val="17"/>
          <w:color w:val="auto"/>
        </w:rPr>
        <w:t>and upon such terms as it will determine. Payment, if any, will be made in accordance with the terms of the award, and may be made in cash or in shares, as determined by the Compensation Committee.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Performance-Based Awards</w:t>
      </w:r>
      <w:r>
        <w:rPr>
          <w:rFonts w:ascii="Arial" w:cs="Arial" w:eastAsia="Arial" w:hAnsi="Arial"/>
          <w:sz w:val="17"/>
          <w:szCs w:val="17"/>
          <w:color w:val="auto"/>
        </w:rPr>
        <w:t>. The number of shares or other benefits granted, issued, retainable and/or vested under a stock or stock unit award</w:t>
      </w:r>
      <w:r>
        <w:rPr>
          <w:rFonts w:ascii="Arial" w:cs="Arial" w:eastAsia="Arial" w:hAnsi="Arial"/>
          <w:sz w:val="17"/>
          <w:szCs w:val="17"/>
          <w:i w:val="1"/>
          <w:iCs w:val="1"/>
          <w:color w:val="auto"/>
        </w:rPr>
        <w:t xml:space="preserve"> </w:t>
      </w:r>
      <w:r>
        <w:rPr>
          <w:rFonts w:ascii="Arial" w:cs="Arial" w:eastAsia="Arial" w:hAnsi="Arial"/>
          <w:sz w:val="17"/>
          <w:szCs w:val="17"/>
          <w:color w:val="auto"/>
        </w:rPr>
        <w:t>may be made subject to the attainment of performance goals. The Compensation Committee may utilize any performance criteria selected by it in its sole discretion to establish performance goals.</w:t>
      </w:r>
    </w:p>
    <w:p>
      <w:pPr>
        <w:spacing w:after="0" w:line="1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of a recapitalization, stock split, or similar capital transaction, the Compensation Committee will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and equitable adjustments to the number of shares reserved for issuance under the 2023 Plan, the number of shares that can be issued as incentive stock options, the number of shares subject to outstanding awards and the exercise price under each outstanding option or SAR.</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Transactions</w:t>
      </w:r>
      <w:r>
        <w:rPr>
          <w:rFonts w:ascii="Arial" w:cs="Arial" w:eastAsia="Arial" w:hAnsi="Arial"/>
          <w:sz w:val="17"/>
          <w:szCs w:val="17"/>
          <w:color w:val="auto"/>
        </w:rPr>
        <w:t>. If we are involved in a merger or other reorganization, outstanding awards will be subject to the agreement of merger or</w:t>
      </w:r>
      <w:r>
        <w:rPr>
          <w:rFonts w:ascii="Arial" w:cs="Arial" w:eastAsia="Arial" w:hAnsi="Arial"/>
          <w:sz w:val="17"/>
          <w:szCs w:val="17"/>
          <w:i w:val="1"/>
          <w:iCs w:val="1"/>
          <w:color w:val="auto"/>
        </w:rPr>
        <w:t xml:space="preserve"> </w:t>
      </w:r>
      <w:r>
        <w:rPr>
          <w:rFonts w:ascii="Arial" w:cs="Arial" w:eastAsia="Arial" w:hAnsi="Arial"/>
          <w:sz w:val="17"/>
          <w:szCs w:val="17"/>
          <w:color w:val="auto"/>
        </w:rPr>
        <w:t>reorganization. Subject to compliance with applicable tax laws, such agreement may provide, without limitation, for (1) the continuation of the outstanding awards by us, if we are a surviving corporation, (2)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assumption or substitution of the outstanding awards by the surviving corporation or its parent or subsidiary, (3) the immediate vesting, exercisability, and settlement of the outstanding awards followed by their cancellation, (4) cancellation of the award, to the extent not vested or not exercised prior to the effective time of the merger or reorganization, in exchange for such cash or equity consideration (including no consideration) as the Compensation Committee, in its sole discretion, may consider appropriate, or (5) the settlement of the intrinsic value of the outstanding awards (whether or not vested or exercisable) in cash, cash equivalents, or equity (including cash or equity subject to deferred vesting and delivery consistent with the vesting restrictions applicable to such award or the underlying shares) followed by cancellation of such awards, provided that any such amount may be delayed to the same extent that payment of consideration to the holders of shares in connection with the merger or reorganization is delayed as a result of escrows, earnouts, holdbacks or other contingencies.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The Compensation Committee may provide, in an individual award agreement or in any other written agreement between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us, that the stock award will be subject to acceleration of vesting and exercisability in the event of a change of control.</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Unless the Compensation Committee provides otherwise, no award granted under the 2023 Plan may be transferred in any manner</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vesting and lapse of any and all restrictions applicable to shares issued under such award), except by will, the laws of descent and distribution, or pursuant to a domestic relations order, provided that all ISOs may only be transferred or assigned only to the extent consistent with Section 422 of the Code.</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will have the authority to amend, suspend, or terminate the 2023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No ISOs may be granted more than 10 years after years after the later of (i) the approval of the Plan by the board (or if earlier, the stockholders) and</w:t>
      </w:r>
    </w:p>
    <w:p>
      <w:pPr>
        <w:spacing w:after="0" w:line="23" w:lineRule="exact"/>
        <w:rPr>
          <w:sz w:val="20"/>
          <w:szCs w:val="20"/>
          <w:color w:val="auto"/>
        </w:rPr>
      </w:pPr>
    </w:p>
    <w:p>
      <w:pPr>
        <w:ind w:right="20" w:firstLine="8"/>
        <w:spacing w:after="0" w:line="281" w:lineRule="auto"/>
        <w:tabs>
          <w:tab w:leader="none" w:pos="244"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approval by the board (or if earlier, the stockholders) of any amendment to the Plan that constitutes the adoption of a new plan for purposes of Section 422 of the Code.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Recoupment</w:t>
      </w:r>
      <w:r>
        <w:rPr>
          <w:rFonts w:ascii="Arial" w:cs="Arial" w:eastAsia="Arial" w:hAnsi="Arial"/>
          <w:sz w:val="17"/>
          <w:szCs w:val="17"/>
          <w:color w:val="auto"/>
        </w:rPr>
        <w:t>. To the extent permitted by applicable law, the Compensation Committee will have the authority to require that, in the event that we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prepare restated financial results owing to an executive officer’s intentional misconduct or grossly negligent conduct, such executive officer will reimburse or forfeit to us the amount of any bonus or incentive compensation (whether cash-based or equity-based) such executive officer received during a fixed period, as determined by the Compensation Committee, preceding the year the restatement is determined to be required. That executive officer will forfeit or reimburse to us any bonus or incentive compensation to the extent that such bonus or incentive compensation exceeds what the officer would have received in that period based on an applicable restated performance measure or target. We will recoup incentive-based compensation from executive officers to the extent required under the Dodd-Frank Wall Street Reform and Consumer Protection Act and any rules, regulations and listing standards that may be issued under that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Employee Stock Purchase Plan</w:t>
      </w:r>
    </w:p>
    <w:p>
      <w:pPr>
        <w:spacing w:after="0" w:line="38"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On , 2023, our board of directors approved and adopted, subject to stockholder approval, the ESPP, and our stockholders approved the ESPP on , 2023. The ESPP will become effective upon the effectiveness of the registration statement of which this prospectus forms a</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part. This summary is not a complete description of all provisions of the ESPP and is qualified in its entirety by reference to the ESPP, which will be filed as an exhibit to the registration statement of which this prospectus is a part.</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ESPP is intended to qualify as an “employee stock purchase plan” under Code Section 423, except as explained below under heading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Participation.” During regularly scheduled “offerings” under the ESPP, participants will be able to request payroll deductions and then expend the accumulated deduction to purchase a number of our shares at a discount and in an amount determined in accordance with the ESPP’s terms.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Shares Available for Issuance</w:t>
      </w:r>
      <w:r>
        <w:rPr>
          <w:rFonts w:ascii="Arial" w:cs="Arial" w:eastAsia="Arial" w:hAnsi="Arial"/>
          <w:sz w:val="17"/>
          <w:szCs w:val="17"/>
          <w:color w:val="auto"/>
        </w:rPr>
        <w:t>. The ESPP will have authorized but unissued shares reserved for issuance upon becoming effective, plus</w:t>
      </w:r>
      <w:r>
        <w:rPr>
          <w:rFonts w:ascii="Arial" w:cs="Arial" w:eastAsia="Arial" w:hAnsi="Arial"/>
          <w:sz w:val="17"/>
          <w:szCs w:val="17"/>
          <w:i w:val="1"/>
          <w:iCs w:val="1"/>
          <w:color w:val="auto"/>
        </w:rPr>
        <w:t xml:space="preserve"> </w:t>
      </w:r>
      <w:r>
        <w:rPr>
          <w:rFonts w:ascii="Arial" w:cs="Arial" w:eastAsia="Arial" w:hAnsi="Arial"/>
          <w:sz w:val="17"/>
          <w:szCs w:val="17"/>
          <w:color w:val="auto"/>
        </w:rPr>
        <w:t>an additional number of shares to be reserved annually on the first day of each calendar year for a period of not more than 10 years, beginning on</w:t>
      </w:r>
    </w:p>
    <w:p>
      <w:pPr>
        <w:jc w:val="both"/>
        <w:spacing w:after="0" w:line="273" w:lineRule="auto"/>
        <w:rPr>
          <w:sz w:val="20"/>
          <w:szCs w:val="20"/>
          <w:color w:val="auto"/>
        </w:rPr>
      </w:pPr>
      <w:r>
        <w:rPr>
          <w:rFonts w:ascii="Arial" w:cs="Arial" w:eastAsia="Arial" w:hAnsi="Arial"/>
          <w:sz w:val="17"/>
          <w:szCs w:val="17"/>
          <w:color w:val="auto"/>
        </w:rPr>
        <w:t>January 1, 2024, in an amount equal to the least of (i) % of our outstanding shares on such date (ii) shares, or (iii) a lesser amount (including zero) that the Compensation Committee determines for purposes of the annual increase for that calendar year.</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ESPP will be administered by the Compensation Committee, or by our board of directors acting as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The Compensation Committee has the authority to construe, interpret and apply the terms of the ESPP to determine eligibility, to establish such limitations and procedures as it determines are consistent with the ESPP and to adjudicate any disputed claims under the ESPP.</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Each full-time and part-time employee, including officers, employee directors, and employees of participating subsidiaries, who is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on the day preceding the start of any offering period will be eligible to participate in the ESPP. The ESPP will permit an eligible employee to purchase shares through payroll deductions, which may not be less than 1% nor more than 15% of the employee’s compensation, or such lower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limit as may be determined by the Compensation Committee from time to time. However, no employee is eligible to participate in the ESPP if, immediately after electing to participate, the employee would own shares (including shares such employee may purchase under this plan or other outstanding options) representing 5% or more of the total combined voting power or value of all classes of shares. No employee will be able to</w:t>
      </w:r>
    </w:p>
    <w:p>
      <w:pPr>
        <w:jc w:val="both"/>
        <w:spacing w:after="0" w:line="281" w:lineRule="auto"/>
        <w:rPr>
          <w:sz w:val="20"/>
          <w:szCs w:val="20"/>
          <w:color w:val="auto"/>
        </w:rPr>
      </w:pPr>
      <w:r>
        <w:rPr>
          <w:rFonts w:ascii="Arial" w:cs="Arial" w:eastAsia="Arial" w:hAnsi="Arial"/>
          <w:sz w:val="17"/>
          <w:szCs w:val="17"/>
          <w:color w:val="auto"/>
        </w:rPr>
        <w:t>purchase more than ( ) shares or such number of shares as may be determined by the Compensation Committee with respect to a single offering period, or purchase period, if applicable.</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under applicable tax rules, no employee is permitted to accrue, under the ESPP and all of our or our subsidiaries’ similar purchase plans, a right to purchase shares having a fair market value in excess of $25,000 (determined at the time the right is granted) for each calendar year. Employees will be able to withdraw their accumulated payroll deductions prior to the end of the offering period in accordance with the terms of the offering. Participation in the ESPP will end automatically on termination of employment.</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Offering Periods and Purchase Price</w:t>
      </w:r>
      <w:r>
        <w:rPr>
          <w:rFonts w:ascii="Arial" w:cs="Arial" w:eastAsia="Arial" w:hAnsi="Arial"/>
          <w:sz w:val="17"/>
          <w:szCs w:val="17"/>
          <w:color w:val="auto"/>
        </w:rPr>
        <w:t>. The ESPP will be implemented through a series of offerings of purchase rights to eligible employees.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the Compensation Committee may specify offerings with a duration of not more than 27 months and may specify shorter purchase periods within each offering. During each purchase period, payroll deductions will accumulate, without interest. On the last day of the purchase period, accumulated payroll deductions will be used to purchase shares for employees participating in the offering.</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purchase price will be specified pursuant to the offering, but cannot, under the terms of the ESPP, be less than 85% of the fair market value per share on either the offering date or on the purchase date, whichever is less. The fair market value of shares for this purpose will generally be the</w:t>
      </w:r>
    </w:p>
    <w:p>
      <w:pPr>
        <w:jc w:val="both"/>
        <w:spacing w:after="0" w:line="273" w:lineRule="auto"/>
        <w:rPr>
          <w:sz w:val="20"/>
          <w:szCs w:val="20"/>
          <w:color w:val="auto"/>
        </w:rPr>
      </w:pPr>
      <w:r>
        <w:rPr>
          <w:rFonts w:ascii="Arial" w:cs="Arial" w:eastAsia="Arial" w:hAnsi="Arial"/>
          <w:sz w:val="17"/>
          <w:szCs w:val="17"/>
          <w:color w:val="auto"/>
        </w:rPr>
        <w:t>closing price on the Nasdaq Market (or such other exchange as the shares may be traded at the relevant time) for the date in question, or if such date is not a trading day, for the last trading day before the date in question.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Reset Feature</w:t>
      </w:r>
      <w:r>
        <w:rPr>
          <w:rFonts w:ascii="Arial" w:cs="Arial" w:eastAsia="Arial" w:hAnsi="Arial"/>
          <w:sz w:val="17"/>
          <w:szCs w:val="17"/>
          <w:color w:val="auto"/>
        </w:rPr>
        <w:t>. The Compensation Committee may specify that, if the fair market value of a share on any purchase date within a particular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is less than or equal to the fair market value on the start date of that offering period, then the offering period will automatically terminate and the employee in that offering period will automatically be transferred and enrolled in a new offering period which will begin on the next day following such purchase date.</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is a specified type of change in our capital structure, such as a stock split, appropriate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will be made to (1) the number of shares reserved under the ESPP, (2) the individual and aggregate participant share limitations described in the plan and (3) the price of shares that any participant has elected to purchase.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International Participation</w:t>
      </w:r>
      <w:r>
        <w:rPr>
          <w:rFonts w:ascii="Arial" w:cs="Arial" w:eastAsia="Arial" w:hAnsi="Arial"/>
          <w:sz w:val="17"/>
          <w:szCs w:val="17"/>
          <w:color w:val="auto"/>
        </w:rPr>
        <w:t>. To provide greater flexibility in structuring our equity compensation programs for our non-U.S. employees, the ESPP also</w:t>
      </w:r>
      <w:r>
        <w:rPr>
          <w:rFonts w:ascii="Arial" w:cs="Arial" w:eastAsia="Arial" w:hAnsi="Arial"/>
          <w:sz w:val="17"/>
          <w:szCs w:val="17"/>
          <w:i w:val="1"/>
          <w:iCs w:val="1"/>
          <w:color w:val="auto"/>
        </w:rPr>
        <w:t xml:space="preserve"> </w:t>
      </w:r>
      <w:r>
        <w:rPr>
          <w:rFonts w:ascii="Arial" w:cs="Arial" w:eastAsia="Arial" w:hAnsi="Arial"/>
          <w:sz w:val="17"/>
          <w:szCs w:val="17"/>
          <w:color w:val="auto"/>
        </w:rPr>
        <w:t>permits us to grant employees of non-U.S. subsidiary entities rights to purchase shares pursuant to other offering rules or sub-plans adopted by the Compensation Committee in order to achieve tax, securities law or other compliance objectives. While the ESPP is intended to be a qualified “employee stock purchase plan” within the meaning of Code Section 423, any such international sub-plans or offerings are not required to satisfy those U.S. tax code requirements and therefore may have terms that differ from the ESPP terms applicable in the United States. However, the international sub-plans or offerings are subject to the ESPP terms limiting the overall shares available for issuance, the maximum payroll deduction rate, maximum purchase price discount and maximum offering period length.</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Corporate Reorganization</w:t>
      </w:r>
      <w:r>
        <w:rPr>
          <w:rFonts w:ascii="Arial" w:cs="Arial" w:eastAsia="Arial" w:hAnsi="Arial"/>
          <w:sz w:val="17"/>
          <w:szCs w:val="17"/>
          <w:color w:val="auto"/>
        </w:rPr>
        <w:t>. Immediately before a corporate reorganization, the offering period and purchase period then in progress will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and either shares will be purchased with the accumulated payroll deductions or the accumulated payroll deductions will be refunded without occurrence of any shares purchase, unless the surviving corporation (or its parent corporation) assumes the ESPP under the plan of merger or consolidation.</w:t>
      </w:r>
    </w:p>
    <w:p>
      <w:pPr>
        <w:spacing w:after="0" w:line="34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and the Compensation Committee will each have the right to amend, suspend or terminate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at any time. Any increase in the aggregate number of shares to be issued under the ESPP is subject to stockholder approval. Any other amendment is subject to stockholder approval only to the extent required under applicable law or regulation, including Section 423 of the Code.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Sales Plans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our common shares on a periodic basis. Under a Rule 10b5-1 plan, a broker executes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the expiration of the period ending 180 days after the date of this prospectus, or the Restricted Period, subject to early termination, the sale of any shares under such plan would be prohibited by the lock-up agreement that the director or officer has entered into with the underwriters.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presents information regarding outstanding equity awards for each of our named executive officers for the year ended 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340" w:type="dxa"/>
            <w:vAlign w:val="bottom"/>
            <w:tcBorders>
              <w:top w:val="single" w:sz="8" w:color="auto"/>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Equity Incentive Plan</w:t>
            </w: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 Market or</w:t>
            </w:r>
          </w:p>
        </w:tc>
        <w:tc>
          <w:tcPr>
            <w:tcW w:w="0" w:type="dxa"/>
            <w:vAlign w:val="bottom"/>
          </w:tcPr>
          <w:p>
            <w:pPr>
              <w:spacing w:after="0"/>
              <w:rPr>
                <w:sz w:val="1"/>
                <w:szCs w:val="1"/>
                <w:color w:val="auto"/>
              </w:rPr>
            </w:pPr>
          </w:p>
        </w:tc>
      </w:tr>
      <w:tr>
        <w:trPr>
          <w:trHeight w:val="13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Market value of</w:t>
            </w:r>
          </w:p>
        </w:tc>
        <w:tc>
          <w:tcPr>
            <w:tcW w:w="168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Awards: Number of</w:t>
            </w:r>
          </w:p>
        </w:tc>
        <w:tc>
          <w:tcPr>
            <w:tcW w:w="15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shares 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Unearned Shares,</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shares or units of</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Units or Other Rights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Units or Other Rights</w:t>
            </w:r>
          </w:p>
        </w:tc>
        <w:tc>
          <w:tcPr>
            <w:tcW w:w="0" w:type="dxa"/>
            <w:vAlign w:val="bottom"/>
          </w:tcPr>
          <w:p>
            <w:pPr>
              <w:spacing w:after="0"/>
              <w:rPr>
                <w:sz w:val="1"/>
                <w:szCs w:val="1"/>
                <w:color w:val="auto"/>
              </w:rPr>
            </w:pPr>
          </w:p>
        </w:tc>
      </w:tr>
      <w:tr>
        <w:trPr>
          <w:trHeight w:val="139"/>
        </w:trPr>
        <w:tc>
          <w:tcPr>
            <w:tcW w:w="290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5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2"/>
                <w:szCs w:val="12"/>
                <w:color w:val="auto"/>
              </w:rPr>
            </w:pPr>
          </w:p>
        </w:tc>
        <w:tc>
          <w:tcPr>
            <w:tcW w:w="15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units of stock that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stock that have not</w:t>
            </w:r>
          </w:p>
        </w:tc>
        <w:tc>
          <w:tcPr>
            <w:tcW w:w="16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that have Not Vested</w:t>
            </w:r>
          </w:p>
        </w:tc>
        <w:tc>
          <w:tcPr>
            <w:tcW w:w="15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That Have Not Vested</w:t>
            </w:r>
          </w:p>
        </w:tc>
        <w:tc>
          <w:tcPr>
            <w:tcW w:w="0" w:type="dxa"/>
            <w:vAlign w:val="bottom"/>
          </w:tcPr>
          <w:p>
            <w:pPr>
              <w:spacing w:after="0"/>
              <w:rPr>
                <w:sz w:val="1"/>
                <w:szCs w:val="1"/>
                <w:color w:val="auto"/>
              </w:rPr>
            </w:pPr>
          </w:p>
        </w:tc>
      </w:tr>
      <w:tr>
        <w:trPr>
          <w:trHeight w:val="197"/>
        </w:trPr>
        <w:tc>
          <w:tcPr>
            <w:tcW w:w="2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have not vested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vested ($)</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8"/>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Dr. Babak A. Taheri</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line="208" w:lineRule="exact"/>
              <w:rPr>
                <w:sz w:val="20"/>
                <w:szCs w:val="20"/>
                <w:color w:val="auto"/>
              </w:rPr>
            </w:pPr>
            <w:r>
              <w:rPr>
                <w:rFonts w:ascii="Arial" w:cs="Arial" w:eastAsia="Arial" w:hAnsi="Arial"/>
                <w:sz w:val="17"/>
                <w:szCs w:val="17"/>
                <w:color w:val="auto"/>
              </w:rPr>
              <w:t>10/1/2018</w:t>
            </w:r>
            <w:r>
              <w:rPr>
                <w:rFonts w:ascii="Arial" w:cs="Arial" w:eastAsia="Arial" w:hAnsi="Arial"/>
                <w:sz w:val="22"/>
                <w:szCs w:val="22"/>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406,000</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8/1/2019</w:t>
            </w:r>
            <w:r>
              <w:rPr>
                <w:rFonts w:ascii="Arial" w:cs="Arial" w:eastAsia="Arial" w:hAnsi="Arial"/>
                <w:sz w:val="22"/>
                <w:szCs w:val="22"/>
                <w:color w:val="auto"/>
                <w:vertAlign w:val="superscript"/>
              </w:rPr>
              <w:t>(2)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81,200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8/12/2020</w:t>
            </w:r>
            <w:r>
              <w:rPr>
                <w:rFonts w:ascii="Arial" w:cs="Arial" w:eastAsia="Arial" w:hAnsi="Arial"/>
                <w:sz w:val="22"/>
                <w:szCs w:val="22"/>
                <w:color w:val="auto"/>
                <w:vertAlign w:val="superscript"/>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203,000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8/18/2020</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81,200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5/24/2021</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324,800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1/8/2021</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60,900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line="245" w:lineRule="exact"/>
              <w:rPr>
                <w:sz w:val="20"/>
                <w:szCs w:val="20"/>
                <w:color w:val="auto"/>
              </w:rPr>
            </w:pPr>
            <w:r>
              <w:rPr>
                <w:rFonts w:ascii="Arial" w:cs="Arial" w:eastAsia="Arial" w:hAnsi="Arial"/>
                <w:sz w:val="17"/>
                <w:szCs w:val="17"/>
                <w:color w:val="auto"/>
              </w:rPr>
              <w:t>2/3/2021</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60,900</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900" w:type="dxa"/>
            <w:vAlign w:val="bottom"/>
          </w:tcPr>
          <w:p>
            <w:pPr>
              <w:ind w:left="20"/>
              <w:spacing w:after="0"/>
              <w:rPr>
                <w:sz w:val="20"/>
                <w:szCs w:val="20"/>
                <w:color w:val="auto"/>
              </w:rPr>
            </w:pPr>
            <w:r>
              <w:rPr>
                <w:rFonts w:ascii="Arial" w:cs="Arial" w:eastAsia="Arial" w:hAnsi="Arial"/>
                <w:sz w:val="17"/>
                <w:szCs w:val="17"/>
                <w:color w:val="auto"/>
              </w:rPr>
              <w:t>Gregory F. Swyt</w:t>
            </w:r>
          </w:p>
        </w:tc>
        <w:tc>
          <w:tcPr>
            <w:tcW w:w="100" w:type="dxa"/>
            <w:vAlign w:val="bottom"/>
          </w:tcPr>
          <w:p>
            <w:pPr>
              <w:spacing w:after="0"/>
              <w:rPr>
                <w:sz w:val="18"/>
                <w:szCs w:val="18"/>
                <w:color w:val="auto"/>
              </w:rPr>
            </w:pPr>
          </w:p>
        </w:tc>
        <w:tc>
          <w:tcPr>
            <w:tcW w:w="1580" w:type="dxa"/>
            <w:vAlign w:val="bottom"/>
          </w:tcPr>
          <w:p>
            <w:pPr>
              <w:spacing w:after="0" w:line="213" w:lineRule="exact"/>
              <w:rPr>
                <w:sz w:val="20"/>
                <w:szCs w:val="20"/>
                <w:color w:val="auto"/>
              </w:rPr>
            </w:pPr>
            <w:r>
              <w:rPr>
                <w:rFonts w:ascii="Arial" w:cs="Arial" w:eastAsia="Arial" w:hAnsi="Arial"/>
                <w:sz w:val="17"/>
                <w:szCs w:val="17"/>
                <w:color w:val="auto"/>
              </w:rPr>
              <w:t>6/14/2021</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60,000</w:t>
            </w:r>
          </w:p>
        </w:tc>
        <w:tc>
          <w:tcPr>
            <w:tcW w:w="40" w:type="dxa"/>
            <w:vAlign w:val="bottom"/>
          </w:tcPr>
          <w:p>
            <w:pPr>
              <w:spacing w:after="0"/>
              <w:rPr>
                <w:sz w:val="18"/>
                <w:szCs w:val="18"/>
                <w:color w:val="auto"/>
              </w:rPr>
            </w:pPr>
          </w:p>
        </w:tc>
        <w:tc>
          <w:tcPr>
            <w:tcW w:w="1660" w:type="dxa"/>
            <w:vAlign w:val="bottom"/>
            <w:gridSpan w:val="2"/>
          </w:tcPr>
          <w:p>
            <w:pPr>
              <w:jc w:val="right"/>
              <w:ind w:right="6"/>
              <w:spacing w:after="0"/>
              <w:rPr>
                <w:sz w:val="20"/>
                <w:szCs w:val="20"/>
                <w:color w:val="auto"/>
              </w:rPr>
            </w:pPr>
            <w:r>
              <w:rPr>
                <w:rFonts w:ascii="Arial" w:cs="Arial" w:eastAsia="Arial" w:hAnsi="Arial"/>
                <w:sz w:val="17"/>
                <w:szCs w:val="17"/>
                <w:color w:val="auto"/>
              </w:rPr>
              <w:t>243,600</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680" w:type="dxa"/>
            <w:vAlign w:val="bottom"/>
            <w:gridSpan w:val="2"/>
          </w:tcPr>
          <w:p>
            <w:pPr>
              <w:ind w:left="100"/>
              <w:spacing w:after="0" w:line="245" w:lineRule="exact"/>
              <w:rPr>
                <w:sz w:val="20"/>
                <w:szCs w:val="20"/>
                <w:color w:val="auto"/>
              </w:rPr>
            </w:pPr>
            <w:r>
              <w:rPr>
                <w:rFonts w:ascii="Arial" w:cs="Arial" w:eastAsia="Arial" w:hAnsi="Arial"/>
                <w:sz w:val="17"/>
                <w:szCs w:val="17"/>
                <w:color w:val="auto"/>
              </w:rPr>
              <w:t>11/24/2021</w:t>
            </w:r>
            <w:r>
              <w:rPr>
                <w:rFonts w:ascii="Arial" w:cs="Arial" w:eastAsia="Arial" w:hAnsi="Arial"/>
                <w:sz w:val="22"/>
                <w:szCs w:val="22"/>
                <w:color w:val="auto"/>
                <w:vertAlign w:val="superscript"/>
              </w:rPr>
              <w:t>(2)</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1700" w:type="dxa"/>
            <w:vAlign w:val="bottom"/>
            <w:gridSpan w:val="3"/>
          </w:tcPr>
          <w:p>
            <w:pPr>
              <w:jc w:val="right"/>
              <w:ind w:right="6"/>
              <w:spacing w:after="0"/>
              <w:rPr>
                <w:sz w:val="20"/>
                <w:szCs w:val="20"/>
                <w:color w:val="auto"/>
              </w:rPr>
            </w:pPr>
            <w:r>
              <w:rPr>
                <w:rFonts w:ascii="Arial" w:cs="Arial" w:eastAsia="Arial" w:hAnsi="Arial"/>
                <w:sz w:val="17"/>
                <w:szCs w:val="17"/>
                <w:color w:val="auto"/>
              </w:rPr>
              <w:t>20,300</w:t>
            </w: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Dr. Eric Guichard</w:t>
            </w:r>
          </w:p>
        </w:tc>
        <w:tc>
          <w:tcPr>
            <w:tcW w:w="1680" w:type="dxa"/>
            <w:vAlign w:val="bottom"/>
            <w:gridSpan w:val="2"/>
            <w:shd w:val="clear" w:color="auto" w:fill="CCEEFF"/>
          </w:tcPr>
          <w:p>
            <w:pPr>
              <w:ind w:left="100"/>
              <w:spacing w:after="0" w:line="229" w:lineRule="exact"/>
              <w:rPr>
                <w:sz w:val="20"/>
                <w:szCs w:val="20"/>
                <w:color w:val="auto"/>
              </w:rPr>
            </w:pPr>
            <w:r>
              <w:rPr>
                <w:rFonts w:ascii="Arial" w:cs="Arial" w:eastAsia="Arial" w:hAnsi="Arial"/>
                <w:sz w:val="17"/>
                <w:szCs w:val="17"/>
                <w:color w:val="auto"/>
              </w:rPr>
              <w:t>11/11/2014</w:t>
            </w:r>
            <w:r>
              <w:rPr>
                <w:rFonts w:ascii="Arial" w:cs="Arial" w:eastAsia="Arial" w:hAnsi="Arial"/>
                <w:sz w:val="22"/>
                <w:szCs w:val="22"/>
                <w:color w:val="auto"/>
                <w:vertAlign w:val="superscript"/>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60,360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245,062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line="213" w:lineRule="exact"/>
              <w:rPr>
                <w:sz w:val="20"/>
                <w:szCs w:val="20"/>
                <w:color w:val="auto"/>
              </w:rPr>
            </w:pPr>
            <w:r>
              <w:rPr>
                <w:rFonts w:ascii="Arial" w:cs="Arial" w:eastAsia="Arial" w:hAnsi="Arial"/>
                <w:sz w:val="17"/>
                <w:szCs w:val="17"/>
                <w:color w:val="auto"/>
              </w:rPr>
              <w:t>9/1/2015</w:t>
            </w:r>
            <w:r>
              <w:rPr>
                <w:rFonts w:ascii="Arial" w:cs="Arial" w:eastAsia="Arial" w:hAnsi="Arial"/>
                <w:sz w:val="22"/>
                <w:szCs w:val="22"/>
                <w:color w:val="auto"/>
                <w:vertAlign w:val="superscript"/>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28,420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10/17/2016</w:t>
            </w:r>
            <w:r>
              <w:rPr>
                <w:rFonts w:ascii="Arial" w:cs="Arial" w:eastAsia="Arial" w:hAnsi="Arial"/>
                <w:sz w:val="22"/>
                <w:szCs w:val="22"/>
                <w:color w:val="auto"/>
                <w:vertAlign w:val="superscript"/>
              </w:rPr>
              <w:t>(1)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40,600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8/12/2020</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40,600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line="229" w:lineRule="exact"/>
              <w:rPr>
                <w:sz w:val="20"/>
                <w:szCs w:val="20"/>
                <w:color w:val="auto"/>
              </w:rPr>
            </w:pPr>
            <w:r>
              <w:rPr>
                <w:rFonts w:ascii="Arial" w:cs="Arial" w:eastAsia="Arial" w:hAnsi="Arial"/>
                <w:sz w:val="17"/>
                <w:szCs w:val="17"/>
                <w:color w:val="auto"/>
              </w:rPr>
              <w:t>5/24/2021</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60,900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line="245" w:lineRule="exact"/>
              <w:rPr>
                <w:sz w:val="20"/>
                <w:szCs w:val="20"/>
                <w:color w:val="auto"/>
              </w:rPr>
            </w:pPr>
            <w:r>
              <w:rPr>
                <w:rFonts w:ascii="Arial" w:cs="Arial" w:eastAsia="Arial" w:hAnsi="Arial"/>
                <w:sz w:val="17"/>
                <w:szCs w:val="17"/>
                <w:color w:val="auto"/>
              </w:rPr>
              <w:t>11/24/2021</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700" w:type="dxa"/>
            <w:vAlign w:val="bottom"/>
            <w:gridSpan w:val="3"/>
            <w:shd w:val="clear" w:color="auto" w:fill="CCEEFF"/>
          </w:tcPr>
          <w:p>
            <w:pPr>
              <w:jc w:val="right"/>
              <w:ind w:right="6"/>
              <w:spacing w:after="0"/>
              <w:rPr>
                <w:sz w:val="20"/>
                <w:szCs w:val="20"/>
                <w:color w:val="auto"/>
              </w:rPr>
            </w:pPr>
            <w:r>
              <w:rPr>
                <w:rFonts w:ascii="Arial" w:cs="Arial" w:eastAsia="Arial" w:hAnsi="Arial"/>
                <w:sz w:val="17"/>
                <w:szCs w:val="17"/>
                <w:color w:val="auto"/>
              </w:rPr>
              <w:t>20,300</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2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hanging="332"/>
        <w:spacing w:after="0" w:line="26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Award vests on the first date upon which both the Time-Based Requirement and the Liquidity Event Requirement are satisfied with respect to the award. The liquidity event requirement will be satisfied as to any then-outstanding RSUs on the first to occur of: (1) an RSU change in control (as defined in the award agreement) or (2) an IPO (as defined in the award agreement), in each case, within 10 years of the grant date (the “Liquidity Event Requirement”). For the avoidance of doubt, failure to satisfy the Liquidity Event Requirement within 10 years of the grant date results in the cancellation of the RSUs. The Time-Based Requirement will be satisfied in installments as follows: 25% of the RSUs will have the Time-Based Requirement satisfied on the one-year anniversary of the vesting commencement date (as defined in the RSU award agreement), with the remaining 75% of the RSUs vesting with respect to the Time-Based Requirement in equal quarterly installments during the next 12 quarters thereafter, subject to the recipient’s continuous service through each such date. If applicable, vesting accelerates as provided in, and subject to the terms and conditions of, the Executive Change in Control Plan.</w:t>
      </w:r>
    </w:p>
    <w:p>
      <w:pPr>
        <w:spacing w:after="0" w:line="160"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Award vests on the first date upon which both the Time-Based Requirement and the Liquidity Event Requirement are satisfied with respect to the award. For the avoidance of doubt, failure to satisfy the Liquidity Event Requirement within 10 years of the grant date results in the cancellation of the RSUs. The Time-Based Requirement is deemed to have been satisfied on the grant date.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includes a summary of transactions since January 1, 2019 to which we have been a party, in which the amount involved in the transaction exceeded the lesser of $120,000 or 1% of the average of our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 and Line of Credit</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1, 2019, we received a $0.5 million loan from Kipee, a real estate entity owned by Ms. Ngai-Pesic, at an interest rate of 3.0% per annum, pursuant to a promissory note. We received a $0.5 million loan from Kipee on each of July 1, 2019, August 14, 2019, October 10, 2019, or the October 2019 Loan, and February 14, 2020, or the February 2020 Loan, each of which bore an interest rate of 4.0% per annum, pursuant to promissory notes. On December 8, 2021, we received the $0.5 million December 2021 Loan from Ms. Ngai-Pesic at an interest rate of 3.25% per annum, pursuant to a promissory note. These loans have all been paid in full.</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30, 2022, we received the $0.5 million March 2022 Loan from Ms. Ngai-Pesic at an interest rate of 3.25% per annum, pursuant to a promissory note. The total outstanding balance of the March 2022 Loan is due in full on March 30, 2023. From January 1, 2019 through September 30, 2022, the largest aggregate amount of principal outstanding under our loans with Kipee and Ms. Ngai-Pesic, including the outstanding March 2022 Loan, was $2.5 million, and during that period, we repaid $3.0 million in principal and $0.1 million in interest on such loans.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2010, we loaned NHC and NHF, real estate entities owned by Ms. Ngai-Pesic, or the NH Entities, $0.9 million and $1.5 million, respectively, to construct an office building in Grenoble, France. Since then, the NH Entities have made payments to us based on cash generated from the leasing of the Grenoble, France, office, at which Silvaco France SA is a tenant. Our Director of Global Sales Operations serves as director of NHC. As of September 2, 2021, $1.3 remained outstanding on the notes receivable from the NH Entities. These notes receivable were settled on September 13, 2021, with Ms. Ngai-Pesic paying us $0.2 million on behalf of the NH Entities (the net balance remaining after settlement of the notes receivable from the NH Entities and the October 2019 Loan and February 2020 Loan payable to Kipee).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13, 2022, we entered into the $4.0 million 2022 Credit Line with Ms. Ngai-Pesic at an interest rate of prime plus 1.0% per annum, pursuant to a promissory note and line of credit agreement. From June 13, 2022 through September 30, 2022, the largest aggregate amount outstanding under the 2022 Credit Line was $2.0 million, and during that period, we paid $16,000 in interest. As of September 30, 2022, $2.0 million remained outstanding under the 2022 Credit Line. The total outstanding balance of the 2022 Credit Line is due in full upon the earlier of (i) June 13, 2023 and (ii) 10 days following the date that we secure financing in an amount equal to or greater than the 2022 Credit Line.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Properties Leased from Ms. Ngai-Pesic</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lease our principal executive offices located in Santa Clara, California, from Ms. Ngai-Pesic, for $18,000 per month. In connection with this lease arrangement, we recorded rent expense of $0.1 million during the nine months ended September 30, 2022. Our future minimum lease commitment under this three-year arrangement, which commenced on May 1, 2022 and expires on March 31, 2025, is $0.5 million. We also lease from NHF an office facility located in Grenoble, France, for €3,597 per month. We lease from NHC an office facility located in the Cambridgeshire, United Kingdom, for £12,833 per month plus value-added tax. We also leased from Kipee an office facility located in Austin, Texas through July 2021. In connection with these lease arrangements, we recorded rent expense of $0.3 million and $0.2 million during the nine months ended September 30, 2021 and 2022,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by SMIK Trust to Ms. Ngai-Pesic</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May 28, 2021, Ms. Ngai-Pesic transferred 26,400,000 shares of our common stock held in her name to SMIK Trust. The SMIK Trust transferred 3,927,004 shares of our common stock to Ms. Ngai-Pesic on August 29, 2022, and anticipates transferring additional shares to Ms. Ngai-Pesic in 2023 and 2024, respectively. Any shares held by SMIK Trust thereafter will be transferred to the Pesic Family 2016 Irrevocable Trust and to Ms. Ngai-Pesic’s children, Iliya Pesic and Yelena Pesic.</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2022, Ms. Ngai-Pesic owned 15,127,004 shares of our common stock, representing approximately 38% of our total outstanding shares of common stock. While a beneficiary of the SMIK Trust, Ms. Ngai-Pesic holds no voting and dispositive power over the 22,472,996 shares of our common stock held by the SMIK Trust, which represents approximately 57% of our total outstanding shares of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and Employment Arrangements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 ended December 31, 2021, Ms. Ngai-Pesic earned $96,144 of cash compensation for services rendered as an employee of the company. Ms. Ngai-Pesic’s service to us as an employee ceased on January 11, 2022, and on January 12, 2022, we entered into a consulting advisory agreement with Ms. Ngai-Pesic, under which she receives $15,000 annually for general consulting and management services and reimbursement for certain expenses. Ms. Ngai-Pesic’s consulting advisory agreement will terminate on the completion of this offering.</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2021, Mr. Pesic earned $189,596 of cash compensation for services rendered as an employee of the company. Mr. Pesic’s service to us as an employee ceased on January 11, 2022, and on January 12, 2022, we entered into a consulting advisory agreement with Mr. Pesic, under which he receives $50,000 annually for strategic advisory services and reimbursement for certain expenses. We also reimburse Mr. Pesic for his monthly car payments of approximately $600 per month. Mr. Pesic’s consulting advisory agreement will terminate on the completion of this offering.</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year ended December 31, 2021, neither Ms. Ngai-Pesic nor Ms. Pesic earned annual cash retainers for their service on our board of directors and committees thereof as we reserve such retainers for our non-employee directors. We entered into employment agreements and offer letter agreements with certain of our executive officers prior to the completion of this offering. See “Executive Compensation—Agreements with our Named Executive Officers and Potential Payments Upon Termination or Change of Control.”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Upon completion of this offering, we intend to enter into separate indemnification agreements with our directors and executive officers, in addition to the indemnification provided for in our amended and restated certificate of incorporation and amended and restated bylaws. These agreements, among other things, will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 In addition, our amended and restated certificate of incorporation and amended and restated bylaws will provide indemnification and advancement of expenses for our directors and executive officers to the fullest extent permitted by the DGCL, subject to certain limited exceptions. We have also purchased directors’ and officers’ liability insurance for each of our directors and executive officers. For more information regarding these indemnification arrangements, see “Management—Limitation on Liability and Indemnification of Directors and Officers.” We believe that these charter provisions and indemnification agreements are necessary to attract and retain qualified persons as directors and officers.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intend to adopt a written Related Person Transactions Policy prior to the completion of this offering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rely on information supplied by our executive officers, directors and certain significant stockholders.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considering related person transactions, our audit committee considers the relevant available facts and circumstances, which may include, but not limited to:</w:t>
      </w:r>
    </w:p>
    <w:p>
      <w:pPr>
        <w:spacing w:after="0" w:line="118" w:lineRule="exact"/>
        <w:rPr>
          <w:sz w:val="20"/>
          <w:szCs w:val="20"/>
          <w:color w:val="auto"/>
        </w:rPr>
      </w:pPr>
    </w:p>
    <w:p>
      <w:pPr>
        <w:ind w:left="580" w:hanging="329"/>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risks, costs and benefits to us;</w:t>
      </w:r>
    </w:p>
    <w:p>
      <w:pPr>
        <w:spacing w:after="0" w:line="23" w:lineRule="exact"/>
        <w:rPr>
          <w:rFonts w:ascii="Arial" w:cs="Arial" w:eastAsia="Arial" w:hAnsi="Arial"/>
          <w:sz w:val="17"/>
          <w:szCs w:val="17"/>
          <w:color w:val="auto"/>
        </w:rPr>
      </w:pPr>
    </w:p>
    <w:p>
      <w:pPr>
        <w:ind w:left="580" w:hanging="329"/>
        <w:spacing w:after="0" w:line="248" w:lineRule="auto"/>
        <w:tabs>
          <w:tab w:leader="none" w:pos="57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impact on a director’s independence in the event the related person is a director, immediate family member of a director or an entity with which a director is affiliated;</w:t>
      </w:r>
    </w:p>
    <w:p>
      <w:pPr>
        <w:spacing w:after="0" w:line="1" w:lineRule="exact"/>
        <w:rPr>
          <w:rFonts w:ascii="Arial" w:cs="Arial" w:eastAsia="Arial" w:hAnsi="Arial"/>
          <w:sz w:val="17"/>
          <w:szCs w:val="17"/>
          <w:color w:val="auto"/>
        </w:rPr>
      </w:pPr>
    </w:p>
    <w:p>
      <w:pPr>
        <w:ind w:left="580" w:hanging="329"/>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terms of the transaction;</w:t>
      </w:r>
    </w:p>
    <w:p>
      <w:pPr>
        <w:spacing w:after="0" w:line="7" w:lineRule="exact"/>
        <w:rPr>
          <w:rFonts w:ascii="Arial" w:cs="Arial" w:eastAsia="Arial" w:hAnsi="Arial"/>
          <w:sz w:val="17"/>
          <w:szCs w:val="17"/>
          <w:color w:val="auto"/>
        </w:rPr>
      </w:pPr>
    </w:p>
    <w:p>
      <w:pPr>
        <w:ind w:left="580" w:hanging="329"/>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availability of other sources for comparable services or products; and</w:t>
      </w:r>
    </w:p>
    <w:p>
      <w:pPr>
        <w:spacing w:after="0" w:line="13" w:lineRule="exact"/>
        <w:rPr>
          <w:rFonts w:ascii="Arial" w:cs="Arial" w:eastAsia="Arial" w:hAnsi="Arial"/>
          <w:sz w:val="17"/>
          <w:szCs w:val="17"/>
          <w:color w:val="auto"/>
        </w:rPr>
      </w:pPr>
    </w:p>
    <w:p>
      <w:pPr>
        <w:ind w:left="580" w:hanging="329"/>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w:t>
      </w:r>
    </w:p>
    <w:p>
      <w:pPr>
        <w:spacing w:after="0" w:line="160"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80" w:type="dxa"/>
            <w:vAlign w:val="bottom"/>
          </w:tcPr>
          <w:p>
            <w:pPr>
              <w:spacing w:after="0"/>
              <w:rPr>
                <w:sz w:val="20"/>
                <w:szCs w:val="20"/>
                <w:color w:val="auto"/>
              </w:rPr>
            </w:pPr>
            <w:r>
              <w:rPr>
                <w:rFonts w:ascii="Arial" w:cs="Arial" w:eastAsia="Arial" w:hAnsi="Arial"/>
                <w:sz w:val="17"/>
                <w:szCs w:val="17"/>
                <w:color w:val="auto"/>
              </w:rPr>
              <w:t>The following table sets forth information regarding beneficial ownership of our common stock as of</w:t>
            </w:r>
          </w:p>
        </w:tc>
        <w:tc>
          <w:tcPr>
            <w:tcW w:w="1040" w:type="dxa"/>
            <w:vAlign w:val="bottom"/>
          </w:tcPr>
          <w:p>
            <w:pPr>
              <w:ind w:left="280"/>
              <w:spacing w:after="0"/>
              <w:rPr>
                <w:sz w:val="20"/>
                <w:szCs w:val="20"/>
                <w:color w:val="auto"/>
              </w:rPr>
            </w:pPr>
            <w:r>
              <w:rPr>
                <w:rFonts w:ascii="Arial" w:cs="Arial" w:eastAsia="Arial" w:hAnsi="Arial"/>
                <w:sz w:val="17"/>
                <w:szCs w:val="17"/>
                <w:color w:val="auto"/>
                <w:w w:val="99"/>
              </w:rPr>
              <w:t>, 2023 by:</w:t>
            </w:r>
          </w:p>
        </w:tc>
      </w:tr>
    </w:tbl>
    <w:p>
      <w:pPr>
        <w:spacing w:after="0" w:line="153"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common stock;</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of our current executive officers and directors as a group.</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percentage ownership information under the column “Percentage of shares beneficially owned prior to this offering” is based on shares of common stock outstanding as of , 2023. The percentage ownership information under the column “Percentage of shares beneficially owned after offering” is based on shares of common stock to be outstanding immediately after the closing of this offering, assuming no</w:t>
      </w:r>
    </w:p>
    <w:p>
      <w:pPr>
        <w:jc w:val="both"/>
        <w:spacing w:after="0" w:line="264" w:lineRule="auto"/>
        <w:rPr>
          <w:sz w:val="20"/>
          <w:szCs w:val="20"/>
          <w:color w:val="auto"/>
        </w:rPr>
      </w:pPr>
      <w:r>
        <w:rPr>
          <w:rFonts w:ascii="Arial" w:cs="Arial" w:eastAsia="Arial" w:hAnsi="Arial"/>
          <w:sz w:val="17"/>
          <w:szCs w:val="17"/>
          <w:color w:val="auto"/>
        </w:rPr>
        <w:t>exercise by the underwriters of their option to purchase additional shares of common stock from us and excluding any potential purchases in this offering by the persons and entity named in the table below.</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shares of our common stock subject to RSUs that vest within 60 days of , 2023. These shares are deemed to be outstanding and beneficially owned by the person holding those RSUs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Except as otherwise noted below, the address for each person or entity listed in the table is c/o Silvaco Group, Inc., 4701 Patrick Henry Drive, Building #23, Santa Clara, CA 95054.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3"/>
          </w:tcPr>
          <w:p>
            <w:pPr>
              <w:ind w:left="260"/>
              <w:spacing w:after="0"/>
              <w:rPr>
                <w:sz w:val="20"/>
                <w:szCs w:val="20"/>
                <w:color w:val="auto"/>
              </w:rPr>
            </w:pPr>
            <w:r>
              <w:rPr>
                <w:rFonts w:ascii="Arial" w:cs="Arial" w:eastAsia="Arial" w:hAnsi="Arial"/>
                <w:sz w:val="14"/>
                <w:szCs w:val="14"/>
                <w:b w:val="1"/>
                <w:bCs w:val="1"/>
                <w:color w:val="auto"/>
              </w:rPr>
              <w:t>Percentage of Shares Beneficially</w:t>
            </w: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 Shares</w:t>
            </w:r>
          </w:p>
        </w:tc>
        <w:tc>
          <w:tcPr>
            <w:tcW w:w="28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55"/>
        </w:trPr>
        <w:tc>
          <w:tcPr>
            <w:tcW w:w="686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tcPr>
          <w:p>
            <w:pPr>
              <w:spacing w:after="0"/>
              <w:rPr>
                <w:sz w:val="13"/>
                <w:szCs w:val="13"/>
                <w:color w:val="auto"/>
              </w:rPr>
            </w:pPr>
          </w:p>
        </w:tc>
        <w:tc>
          <w:tcPr>
            <w:tcW w:w="14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Beneficially</w:t>
            </w:r>
          </w:p>
        </w:tc>
        <w:tc>
          <w:tcPr>
            <w:tcW w:w="1460" w:type="dxa"/>
            <w:vAlign w:val="bottom"/>
            <w:gridSpan w:val="2"/>
          </w:tcPr>
          <w:p>
            <w:pPr>
              <w:ind w:left="420"/>
              <w:spacing w:after="0" w:line="155" w:lineRule="exact"/>
              <w:rPr>
                <w:sz w:val="20"/>
                <w:szCs w:val="20"/>
                <w:color w:val="auto"/>
              </w:rPr>
            </w:pPr>
            <w:r>
              <w:rPr>
                <w:rFonts w:ascii="Arial" w:cs="Arial" w:eastAsia="Arial" w:hAnsi="Arial"/>
                <w:sz w:val="14"/>
                <w:szCs w:val="14"/>
                <w:b w:val="1"/>
                <w:bCs w:val="1"/>
                <w:color w:val="auto"/>
              </w:rPr>
              <w:t>Prior to</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Owned</w:t>
            </w: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this Offering</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Greater than 5% Stockholder:</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line="237" w:lineRule="exact"/>
              <w:rPr>
                <w:sz w:val="20"/>
                <w:szCs w:val="20"/>
                <w:color w:val="auto"/>
              </w:rPr>
            </w:pPr>
            <w:r>
              <w:rPr>
                <w:rFonts w:ascii="Arial" w:cs="Arial" w:eastAsia="Arial" w:hAnsi="Arial"/>
                <w:sz w:val="17"/>
                <w:szCs w:val="17"/>
                <w:color w:val="auto"/>
              </w:rPr>
              <w:t>SMIK Trust</w:t>
            </w:r>
            <w:r>
              <w:rPr>
                <w:rFonts w:ascii="Arial" w:cs="Arial" w:eastAsia="Arial" w:hAnsi="Arial"/>
                <w:sz w:val="22"/>
                <w:szCs w:val="22"/>
                <w:color w:val="auto"/>
                <w:vertAlign w:val="superscript"/>
              </w:rPr>
              <w:t>(1)</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200"/>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Named Executive Officers and Directors: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Katherine S. Ngai-Pesic</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7"/>
          <w:szCs w:val="17"/>
          <w:color w:val="auto"/>
        </w:rPr>
        <w:t>Dr. Babak A. Taheri</w:t>
      </w:r>
      <w:r>
        <w:rPr>
          <w:rFonts w:ascii="Arial" w:cs="Arial" w:eastAsia="Arial" w:hAnsi="Arial"/>
          <w:sz w:val="22"/>
          <w:szCs w:val="22"/>
          <w:color w:val="auto"/>
          <w:vertAlign w:val="superscript"/>
        </w:rPr>
        <w:t>(3)</w:t>
      </w:r>
    </w:p>
    <w:p>
      <w:pPr>
        <w:ind w:left="20"/>
        <w:spacing w:after="0" w:line="218" w:lineRule="auto"/>
        <w:rPr>
          <w:sz w:val="20"/>
          <w:szCs w:val="20"/>
          <w:color w:val="auto"/>
        </w:rPr>
      </w:pPr>
      <w:r>
        <w:rPr>
          <w:rFonts w:ascii="Arial" w:cs="Arial" w:eastAsia="Arial" w:hAnsi="Arial"/>
          <w:sz w:val="17"/>
          <w:szCs w:val="17"/>
          <w:color w:val="auto"/>
        </w:rPr>
        <w:t>Dr. Eric Guichard</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7"/>
          <w:szCs w:val="17"/>
          <w:color w:val="auto"/>
        </w:rPr>
        <w:t>Gregory F. Swyt</w:t>
      </w:r>
      <w:r>
        <w:rPr>
          <w:rFonts w:ascii="Arial" w:cs="Arial" w:eastAsia="Arial" w:hAnsi="Arial"/>
          <w:sz w:val="22"/>
          <w:szCs w:val="22"/>
          <w:color w:val="auto"/>
          <w:vertAlign w:val="superscript"/>
        </w:rPr>
        <w:t>(5)</w:t>
      </w:r>
    </w:p>
    <w:p>
      <w:pPr>
        <w:ind w:left="20"/>
        <w:spacing w:after="0" w:line="217" w:lineRule="auto"/>
        <w:rPr>
          <w:sz w:val="20"/>
          <w:szCs w:val="20"/>
          <w:color w:val="auto"/>
        </w:rPr>
      </w:pPr>
      <w:r>
        <w:rPr>
          <w:rFonts w:ascii="Arial" w:cs="Arial" w:eastAsia="Arial" w:hAnsi="Arial"/>
          <w:sz w:val="17"/>
          <w:szCs w:val="17"/>
          <w:color w:val="auto"/>
        </w:rPr>
        <w:t>Dr. Hau L. Lee</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7"/>
          <w:szCs w:val="17"/>
          <w:color w:val="auto"/>
        </w:rPr>
        <w:t>William H. Molloie, Jr.</w:t>
      </w:r>
      <w:r>
        <w:rPr>
          <w:rFonts w:ascii="Arial" w:cs="Arial" w:eastAsia="Arial" w:hAnsi="Arial"/>
          <w:sz w:val="22"/>
          <w:szCs w:val="22"/>
          <w:color w:val="auto"/>
          <w:vertAlign w:val="superscript"/>
        </w:rPr>
        <w:t>(7)</w:t>
      </w:r>
    </w:p>
    <w:p>
      <w:pPr>
        <w:ind w:left="20"/>
        <w:spacing w:after="0" w:line="218" w:lineRule="auto"/>
        <w:rPr>
          <w:sz w:val="20"/>
          <w:szCs w:val="20"/>
          <w:color w:val="auto"/>
        </w:rPr>
      </w:pPr>
      <w:r>
        <w:rPr>
          <w:rFonts w:ascii="Arial" w:cs="Arial" w:eastAsia="Arial" w:hAnsi="Arial"/>
          <w:sz w:val="17"/>
          <w:szCs w:val="17"/>
          <w:color w:val="auto"/>
        </w:rPr>
        <w:t>Anthony K. K. Ngai</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7"/>
          <w:szCs w:val="17"/>
          <w:color w:val="auto"/>
        </w:rPr>
        <w:t>Iliya I. Pesic</w:t>
      </w:r>
      <w:r>
        <w:rPr>
          <w:rFonts w:ascii="Arial" w:cs="Arial" w:eastAsia="Arial" w:hAnsi="Arial"/>
          <w:sz w:val="22"/>
          <w:szCs w:val="22"/>
          <w:color w:val="auto"/>
          <w:vertAlign w:val="superscript"/>
        </w:rPr>
        <w:t>(9)</w:t>
      </w:r>
    </w:p>
    <w:p>
      <w:pPr>
        <w:ind w:left="20"/>
        <w:spacing w:after="0" w:line="217" w:lineRule="auto"/>
        <w:rPr>
          <w:sz w:val="20"/>
          <w:szCs w:val="20"/>
          <w:color w:val="auto"/>
        </w:rPr>
      </w:pPr>
      <w:r>
        <w:rPr>
          <w:rFonts w:ascii="Arial" w:cs="Arial" w:eastAsia="Arial" w:hAnsi="Arial"/>
          <w:sz w:val="17"/>
          <w:szCs w:val="17"/>
          <w:color w:val="auto"/>
        </w:rPr>
        <w:t>Dr. Walden C. Rhines</w:t>
      </w:r>
      <w:r>
        <w:rPr>
          <w:rFonts w:ascii="Arial" w:cs="Arial" w:eastAsia="Arial" w:hAnsi="Arial"/>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23" w:lineRule="auto"/>
        <w:rPr>
          <w:sz w:val="20"/>
          <w:szCs w:val="20"/>
          <w:color w:val="auto"/>
        </w:rPr>
      </w:pPr>
      <w:r>
        <w:rPr>
          <w:rFonts w:ascii="Arial" w:cs="Arial" w:eastAsia="Arial" w:hAnsi="Arial"/>
          <w:sz w:val="17"/>
          <w:szCs w:val="17"/>
          <w:color w:val="auto"/>
        </w:rPr>
        <w:t>Jodi L. Shelton</w:t>
      </w:r>
      <w:r>
        <w:rPr>
          <w:rFonts w:ascii="Arial" w:cs="Arial" w:eastAsia="Arial" w:hAnsi="Arial"/>
          <w:sz w:val="22"/>
          <w:szCs w:val="22"/>
          <w:color w:val="auto"/>
          <w:vertAlign w:val="superscript"/>
        </w:rPr>
        <w:t>(11)</w:t>
      </w:r>
    </w:p>
    <w:p>
      <w:pPr>
        <w:spacing w:after="0" w:line="1" w:lineRule="exact"/>
        <w:rPr>
          <w:sz w:val="20"/>
          <w:szCs w:val="20"/>
          <w:color w:val="auto"/>
        </w:rPr>
      </w:pPr>
    </w:p>
    <w:p>
      <w:pPr>
        <w:ind w:left="20"/>
        <w:spacing w:after="0"/>
        <w:tabs>
          <w:tab w:leader="none" w:pos="4480" w:val="left"/>
        </w:tabs>
        <w:rPr>
          <w:sz w:val="20"/>
          <w:szCs w:val="20"/>
          <w:color w:val="auto"/>
        </w:rPr>
      </w:pPr>
      <w:r>
        <w:rPr>
          <w:rFonts w:ascii="Arial" w:cs="Arial" w:eastAsia="Arial" w:hAnsi="Arial"/>
          <w:sz w:val="16"/>
          <w:szCs w:val="16"/>
          <w:b w:val="1"/>
          <w:bCs w:val="1"/>
          <w:color w:val="auto"/>
        </w:rPr>
        <w:t>All current executive officers and directors as a group (</w:t>
      </w:r>
      <w:r>
        <w:rPr>
          <w:sz w:val="20"/>
          <w:szCs w:val="20"/>
          <w:color w:val="auto"/>
        </w:rPr>
        <w:tab/>
      </w:r>
      <w:r>
        <w:rPr>
          <w:rFonts w:ascii="Arial" w:cs="Arial" w:eastAsia="Arial" w:hAnsi="Arial"/>
          <w:sz w:val="15"/>
          <w:szCs w:val="15"/>
          <w:b w:val="1"/>
          <w:bCs w:val="1"/>
          <w:color w:val="auto"/>
        </w:rPr>
        <w:t>persons)</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the outstanding shares of our common stock.</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900" w:type="dxa"/>
            <w:vAlign w:val="bottom"/>
            <w:gridSpan w:val="4"/>
          </w:tcPr>
          <w:p>
            <w:pPr>
              <w:jc w:val="right"/>
              <w:spacing w:after="0"/>
              <w:rPr>
                <w:sz w:val="20"/>
                <w:szCs w:val="20"/>
                <w:color w:val="auto"/>
              </w:rPr>
            </w:pPr>
            <w:r>
              <w:rPr>
                <w:rFonts w:ascii="Arial" w:cs="Arial" w:eastAsia="Arial" w:hAnsi="Arial"/>
                <w:sz w:val="14"/>
                <w:szCs w:val="14"/>
                <w:color w:val="auto"/>
              </w:rPr>
              <w:t>shares of common stock held of record by Mark Hancock, acting solely and exclusively in his capacity as trustee of the SMIK Trust, of which Ms. Ngai-</w:t>
            </w:r>
          </w:p>
        </w:tc>
      </w:tr>
      <w:tr>
        <w:trPr>
          <w:trHeight w:val="175"/>
        </w:trPr>
        <w:tc>
          <w:tcPr>
            <w:tcW w:w="260" w:type="dxa"/>
            <w:vAlign w:val="bottom"/>
          </w:tcPr>
          <w:p>
            <w:pPr>
              <w:spacing w:after="0"/>
              <w:rPr>
                <w:sz w:val="15"/>
                <w:szCs w:val="15"/>
                <w:color w:val="auto"/>
              </w:rPr>
            </w:pPr>
          </w:p>
        </w:tc>
        <w:tc>
          <w:tcPr>
            <w:tcW w:w="7840" w:type="dxa"/>
            <w:vAlign w:val="bottom"/>
            <w:gridSpan w:val="4"/>
          </w:tcPr>
          <w:p>
            <w:pPr>
              <w:ind w:left="80"/>
              <w:spacing w:after="0"/>
              <w:rPr>
                <w:sz w:val="20"/>
                <w:szCs w:val="20"/>
                <w:color w:val="auto"/>
              </w:rPr>
            </w:pPr>
            <w:r>
              <w:rPr>
                <w:rFonts w:ascii="Arial" w:cs="Arial" w:eastAsia="Arial" w:hAnsi="Arial"/>
                <w:sz w:val="14"/>
                <w:szCs w:val="14"/>
                <w:color w:val="auto"/>
              </w:rPr>
              <w:t>Pesic is a beneficiary. Mr. Hancock has sole voting and dispositive power over the shares held by SMIK Trust.</w:t>
            </w:r>
          </w:p>
        </w:tc>
        <w:tc>
          <w:tcPr>
            <w:tcW w:w="3140" w:type="dxa"/>
            <w:vAlign w:val="bottom"/>
          </w:tcPr>
          <w:p>
            <w:pPr>
              <w:spacing w:after="0"/>
              <w:rPr>
                <w:sz w:val="15"/>
                <w:szCs w:val="15"/>
                <w:color w:val="auto"/>
              </w:rPr>
            </w:pPr>
          </w:p>
        </w:tc>
      </w:tr>
      <w:tr>
        <w:trPr>
          <w:trHeight w:val="175"/>
        </w:trPr>
        <w:tc>
          <w:tcPr>
            <w:tcW w:w="260" w:type="dxa"/>
            <w:vAlign w:val="bottom"/>
          </w:tcPr>
          <w:p>
            <w:pPr>
              <w:spacing w:after="0"/>
              <w:rPr>
                <w:sz w:val="20"/>
                <w:szCs w:val="20"/>
                <w:color w:val="auto"/>
              </w:rPr>
            </w:pPr>
            <w:r>
              <w:rPr>
                <w:rFonts w:ascii="Arial" w:cs="Arial" w:eastAsia="Arial" w:hAnsi="Arial"/>
                <w:sz w:val="14"/>
                <w:szCs w:val="14"/>
                <w:color w:val="auto"/>
              </w:rPr>
              <w:t>(2)</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900" w:type="dxa"/>
            <w:vAlign w:val="bottom"/>
            <w:gridSpan w:val="4"/>
          </w:tcPr>
          <w:p>
            <w:pPr>
              <w:jc w:val="right"/>
              <w:spacing w:after="0"/>
              <w:rPr>
                <w:sz w:val="20"/>
                <w:szCs w:val="20"/>
                <w:color w:val="auto"/>
              </w:rPr>
            </w:pPr>
            <w:r>
              <w:rPr>
                <w:rFonts w:ascii="Arial" w:cs="Arial" w:eastAsia="Arial" w:hAnsi="Arial"/>
                <w:sz w:val="14"/>
                <w:szCs w:val="14"/>
                <w:color w:val="auto"/>
              </w:rPr>
              <w:t>shares of common stock held of record by Ms. Ngai-Pesic. Ms. Ngai-Pesic is a beneficiary of the shares held by SMIK Trust. Ms. Ngai-Pesic does not</w:t>
            </w:r>
          </w:p>
        </w:tc>
      </w:tr>
      <w:tr>
        <w:trPr>
          <w:trHeight w:val="176"/>
        </w:trPr>
        <w:tc>
          <w:tcPr>
            <w:tcW w:w="260" w:type="dxa"/>
            <w:vAlign w:val="bottom"/>
          </w:tcPr>
          <w:p>
            <w:pPr>
              <w:spacing w:after="0"/>
              <w:rPr>
                <w:sz w:val="15"/>
                <w:szCs w:val="15"/>
                <w:color w:val="auto"/>
              </w:rPr>
            </w:pPr>
          </w:p>
        </w:tc>
        <w:tc>
          <w:tcPr>
            <w:tcW w:w="5220" w:type="dxa"/>
            <w:vAlign w:val="bottom"/>
            <w:gridSpan w:val="3"/>
          </w:tcPr>
          <w:p>
            <w:pPr>
              <w:ind w:left="80"/>
              <w:spacing w:after="0"/>
              <w:rPr>
                <w:sz w:val="20"/>
                <w:szCs w:val="20"/>
                <w:color w:val="auto"/>
              </w:rPr>
            </w:pPr>
            <w:r>
              <w:rPr>
                <w:rFonts w:ascii="Arial" w:cs="Arial" w:eastAsia="Arial" w:hAnsi="Arial"/>
                <w:sz w:val="14"/>
                <w:szCs w:val="14"/>
                <w:color w:val="auto"/>
              </w:rPr>
              <w:t>have voting or dispositive power over the shares held by SMIK Trust.</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75"/>
        </w:trPr>
        <w:tc>
          <w:tcPr>
            <w:tcW w:w="260" w:type="dxa"/>
            <w:vAlign w:val="bottom"/>
          </w:tcPr>
          <w:p>
            <w:pPr>
              <w:spacing w:after="0"/>
              <w:rPr>
                <w:sz w:val="20"/>
                <w:szCs w:val="20"/>
                <w:color w:val="auto"/>
              </w:rPr>
            </w:pPr>
            <w:r>
              <w:rPr>
                <w:rFonts w:ascii="Arial" w:cs="Arial" w:eastAsia="Arial" w:hAnsi="Arial"/>
                <w:sz w:val="14"/>
                <w:szCs w:val="14"/>
                <w:color w:val="auto"/>
              </w:rPr>
              <w:t>(3)</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264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(4)</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264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75"/>
        </w:trPr>
        <w:tc>
          <w:tcPr>
            <w:tcW w:w="260" w:type="dxa"/>
            <w:vAlign w:val="bottom"/>
          </w:tcPr>
          <w:p>
            <w:pPr>
              <w:spacing w:after="0"/>
              <w:rPr>
                <w:sz w:val="20"/>
                <w:szCs w:val="20"/>
                <w:color w:val="auto"/>
              </w:rPr>
            </w:pPr>
            <w:r>
              <w:rPr>
                <w:rFonts w:ascii="Arial" w:cs="Arial" w:eastAsia="Arial" w:hAnsi="Arial"/>
                <w:sz w:val="14"/>
                <w:szCs w:val="14"/>
                <w:color w:val="auto"/>
              </w:rPr>
              <w:t>(5)</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264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76"/>
        </w:trPr>
        <w:tc>
          <w:tcPr>
            <w:tcW w:w="260" w:type="dxa"/>
            <w:vAlign w:val="bottom"/>
          </w:tcPr>
          <w:p>
            <w:pPr>
              <w:spacing w:after="0"/>
              <w:rPr>
                <w:sz w:val="20"/>
                <w:szCs w:val="20"/>
                <w:color w:val="auto"/>
              </w:rPr>
            </w:pPr>
            <w:r>
              <w:rPr>
                <w:rFonts w:ascii="Arial" w:cs="Arial" w:eastAsia="Arial" w:hAnsi="Arial"/>
                <w:sz w:val="14"/>
                <w:szCs w:val="14"/>
                <w:color w:val="auto"/>
              </w:rPr>
              <w:t>(6)</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264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75"/>
        </w:trPr>
        <w:tc>
          <w:tcPr>
            <w:tcW w:w="260" w:type="dxa"/>
            <w:vAlign w:val="bottom"/>
          </w:tcPr>
          <w:p>
            <w:pPr>
              <w:spacing w:after="0"/>
              <w:rPr>
                <w:sz w:val="20"/>
                <w:szCs w:val="20"/>
                <w:color w:val="auto"/>
              </w:rPr>
            </w:pPr>
            <w:r>
              <w:rPr>
                <w:rFonts w:ascii="Arial" w:cs="Arial" w:eastAsia="Arial" w:hAnsi="Arial"/>
                <w:sz w:val="14"/>
                <w:szCs w:val="14"/>
                <w:color w:val="auto"/>
              </w:rPr>
              <w:t>(7)</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264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75"/>
        </w:trPr>
        <w:tc>
          <w:tcPr>
            <w:tcW w:w="260" w:type="dxa"/>
            <w:vAlign w:val="bottom"/>
          </w:tcPr>
          <w:p>
            <w:pPr>
              <w:spacing w:after="0"/>
              <w:rPr>
                <w:sz w:val="20"/>
                <w:szCs w:val="20"/>
                <w:color w:val="auto"/>
              </w:rPr>
            </w:pPr>
            <w:r>
              <w:rPr>
                <w:rFonts w:ascii="Arial" w:cs="Arial" w:eastAsia="Arial" w:hAnsi="Arial"/>
                <w:sz w:val="14"/>
                <w:szCs w:val="14"/>
                <w:color w:val="auto"/>
              </w:rPr>
              <w:t>(8)</w:t>
            </w:r>
          </w:p>
        </w:tc>
        <w:tc>
          <w:tcPr>
            <w:tcW w:w="108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264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(9)</w:t>
            </w:r>
          </w:p>
        </w:tc>
        <w:tc>
          <w:tcPr>
            <w:tcW w:w="1080" w:type="dxa"/>
            <w:vAlign w:val="bottom"/>
          </w:tcPr>
          <w:p>
            <w:pPr>
              <w:ind w:left="60"/>
              <w:spacing w:after="0"/>
              <w:rPr>
                <w:sz w:val="20"/>
                <w:szCs w:val="20"/>
                <w:color w:val="auto"/>
              </w:rPr>
            </w:pPr>
            <w:r>
              <w:rPr>
                <w:rFonts w:ascii="Arial" w:cs="Arial" w:eastAsia="Arial" w:hAnsi="Arial"/>
                <w:sz w:val="14"/>
                <w:szCs w:val="14"/>
                <w:color w:val="auto"/>
              </w:rPr>
              <w:t>Represents</w:t>
            </w:r>
          </w:p>
        </w:tc>
        <w:tc>
          <w:tcPr>
            <w:tcW w:w="4140" w:type="dxa"/>
            <w:vAlign w:val="bottom"/>
            <w:gridSpan w:val="2"/>
          </w:tcPr>
          <w:p>
            <w:pPr>
              <w:ind w:left="280"/>
              <w:spacing w:after="0"/>
              <w:rPr>
                <w:sz w:val="20"/>
                <w:szCs w:val="20"/>
                <w:color w:val="auto"/>
              </w:rPr>
            </w:pPr>
            <w:r>
              <w:rPr>
                <w:rFonts w:ascii="Arial" w:cs="Arial" w:eastAsia="Arial" w:hAnsi="Arial"/>
                <w:sz w:val="14"/>
                <w:szCs w:val="14"/>
                <w:color w:val="auto"/>
              </w:rPr>
              <w:t>shares of common stock held of record by Mr. Pesic and</w:t>
            </w:r>
          </w:p>
        </w:tc>
        <w:tc>
          <w:tcPr>
            <w:tcW w:w="2620" w:type="dxa"/>
            <w:vAlign w:val="bottom"/>
          </w:tcPr>
          <w:p>
            <w:pPr>
              <w:ind w:left="280"/>
              <w:spacing w:after="0"/>
              <w:rPr>
                <w:sz w:val="20"/>
                <w:szCs w:val="20"/>
                <w:color w:val="auto"/>
              </w:rPr>
            </w:pPr>
            <w:r>
              <w:rPr>
                <w:rFonts w:ascii="Arial" w:cs="Arial" w:eastAsia="Arial" w:hAnsi="Arial"/>
                <w:sz w:val="14"/>
                <w:szCs w:val="14"/>
                <w:color w:val="auto"/>
              </w:rPr>
              <w:t>RSUs that vest within 60 days of</w:t>
            </w:r>
          </w:p>
        </w:tc>
        <w:tc>
          <w:tcPr>
            <w:tcW w:w="3140" w:type="dxa"/>
            <w:vAlign w:val="bottom"/>
          </w:tcPr>
          <w:p>
            <w:pPr>
              <w:jc w:val="right"/>
              <w:ind w:right="2348"/>
              <w:spacing w:after="0"/>
              <w:rPr>
                <w:sz w:val="20"/>
                <w:szCs w:val="20"/>
                <w:color w:val="auto"/>
              </w:rPr>
            </w:pPr>
            <w:r>
              <w:rPr>
                <w:rFonts w:ascii="Arial" w:cs="Arial" w:eastAsia="Arial" w:hAnsi="Arial"/>
                <w:sz w:val="14"/>
                <w:szCs w:val="14"/>
                <w:color w:val="auto"/>
              </w:rPr>
              <w:t>, 2023.</w:t>
            </w:r>
          </w:p>
        </w:tc>
      </w:tr>
      <w:tr>
        <w:trPr>
          <w:trHeight w:val="175"/>
        </w:trPr>
        <w:tc>
          <w:tcPr>
            <w:tcW w:w="1340" w:type="dxa"/>
            <w:vAlign w:val="bottom"/>
            <w:gridSpan w:val="2"/>
          </w:tcPr>
          <w:p>
            <w:pPr>
              <w:spacing w:after="0"/>
              <w:rPr>
                <w:sz w:val="20"/>
                <w:szCs w:val="20"/>
                <w:color w:val="auto"/>
              </w:rPr>
            </w:pPr>
            <w:r>
              <w:rPr>
                <w:rFonts w:ascii="Arial" w:cs="Arial" w:eastAsia="Arial" w:hAnsi="Arial"/>
                <w:sz w:val="14"/>
                <w:szCs w:val="14"/>
                <w:color w:val="auto"/>
              </w:rPr>
              <w:t>(10) Consists of</w:t>
            </w:r>
          </w:p>
        </w:tc>
        <w:tc>
          <w:tcPr>
            <w:tcW w:w="2640" w:type="dxa"/>
            <w:vAlign w:val="bottom"/>
          </w:tcPr>
          <w:p>
            <w:pPr>
              <w:ind w:left="30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68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90"/>
        </w:trPr>
        <w:tc>
          <w:tcPr>
            <w:tcW w:w="1340" w:type="dxa"/>
            <w:vAlign w:val="bottom"/>
            <w:gridSpan w:val="2"/>
          </w:tcPr>
          <w:p>
            <w:pPr>
              <w:spacing w:after="0"/>
              <w:rPr>
                <w:sz w:val="20"/>
                <w:szCs w:val="20"/>
                <w:color w:val="auto"/>
              </w:rPr>
            </w:pPr>
            <w:r>
              <w:rPr>
                <w:rFonts w:ascii="Arial" w:cs="Arial" w:eastAsia="Arial" w:hAnsi="Arial"/>
                <w:sz w:val="14"/>
                <w:szCs w:val="14"/>
                <w:color w:val="auto"/>
              </w:rPr>
              <w:t>(11) Consists of</w:t>
            </w:r>
          </w:p>
        </w:tc>
        <w:tc>
          <w:tcPr>
            <w:tcW w:w="2640" w:type="dxa"/>
            <w:vAlign w:val="bottom"/>
          </w:tcPr>
          <w:p>
            <w:pPr>
              <w:ind w:left="300"/>
              <w:spacing w:after="0"/>
              <w:rPr>
                <w:sz w:val="20"/>
                <w:szCs w:val="20"/>
                <w:color w:val="auto"/>
              </w:rPr>
            </w:pPr>
            <w:r>
              <w:rPr>
                <w:rFonts w:ascii="Arial" w:cs="Arial" w:eastAsia="Arial" w:hAnsi="Arial"/>
                <w:sz w:val="14"/>
                <w:szCs w:val="14"/>
                <w:color w:val="auto"/>
              </w:rPr>
              <w:t>RSUs that vest within 60 days of</w:t>
            </w:r>
          </w:p>
        </w:tc>
        <w:tc>
          <w:tcPr>
            <w:tcW w:w="1500" w:type="dxa"/>
            <w:vAlign w:val="bottom"/>
          </w:tcPr>
          <w:p>
            <w:pPr>
              <w:jc w:val="right"/>
              <w:ind w:right="708"/>
              <w:spacing w:after="0"/>
              <w:rPr>
                <w:sz w:val="20"/>
                <w:szCs w:val="20"/>
                <w:color w:val="auto"/>
              </w:rPr>
            </w:pPr>
            <w:r>
              <w:rPr>
                <w:rFonts w:ascii="Arial" w:cs="Arial" w:eastAsia="Arial" w:hAnsi="Arial"/>
                <w:sz w:val="14"/>
                <w:szCs w:val="14"/>
                <w:color w:val="auto"/>
              </w:rPr>
              <w:t>, 2023.</w:t>
            </w:r>
          </w:p>
        </w:tc>
        <w:tc>
          <w:tcPr>
            <w:tcW w:w="262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hanging="323"/>
        <w:spacing w:after="0" w:line="285" w:lineRule="auto"/>
        <w:rPr>
          <w:sz w:val="20"/>
          <w:szCs w:val="20"/>
          <w:color w:val="auto"/>
        </w:rPr>
      </w:pPr>
      <w:r>
        <w:rPr>
          <w:rFonts w:ascii="Arial" w:cs="Arial" w:eastAsia="Arial" w:hAnsi="Arial"/>
          <w:sz w:val="14"/>
          <w:szCs w:val="14"/>
          <w:color w:val="auto"/>
        </w:rPr>
        <w:t>(12) Represents</w:t>
      </w:r>
      <w:r>
        <w:rPr>
          <w:sz w:val="20"/>
          <w:szCs w:val="20"/>
          <w:color w:val="auto"/>
        </w:rPr>
        <w:t xml:space="preserve"> </w:t>
      </w:r>
      <w:r>
        <w:rPr>
          <w:rFonts w:ascii="Arial" w:cs="Arial" w:eastAsia="Arial" w:hAnsi="Arial"/>
          <w:sz w:val="14"/>
          <w:szCs w:val="14"/>
          <w:color w:val="auto"/>
        </w:rPr>
        <w:t>shares of common stock and that vest within 60 days of ,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RSUs beneficially owned by our current directors and executive officers and our former chief financial officer</w:t>
      </w:r>
    </w:p>
    <w:p>
      <w:pPr>
        <w:spacing w:after="0" w:line="421" w:lineRule="exact"/>
        <w:rPr>
          <w:sz w:val="20"/>
          <w:szCs w:val="20"/>
          <w:color w:val="auto"/>
        </w:rPr>
      </w:pPr>
    </w:p>
    <w:p>
      <w:pPr>
        <w:sectPr>
          <w:pgSz w:w="11900" w:h="16838" w:orient="portrait"/>
          <w:cols w:equalWidth="0" w:num="2">
            <w:col w:w="3620" w:space="680"/>
            <w:col w:w="6940"/>
          </w:cols>
          <w:pgMar w:left="320" w:top="125" w:right="3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is a summary of the material rights of our common and preferred stock and some of the provisions of our amended and restated certificate of incorporation and amended and restated bylaws, which will become effective as of immediately prior to the completion of this offering, and of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Upon completion of this offering and upon the filing of our amended and restated certificate of incorporation, our authorized capital stock will consist</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of shares of common stock, $0.0001 par value per share, and shares of preferred stock, $0.0001 par value per share. All of our authorized preferred stock upon completion of this offering will be undesignated. The information below gives effect to a -for- split of our common stock expected to be completed prior to the completion of this offering.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40,000,000 shares of our common stock were outstanding. Upon completion of this offering and assuming no exercise</w:t>
      </w:r>
    </w:p>
    <w:p>
      <w:pPr>
        <w:spacing w:after="0" w:line="23" w:lineRule="exact"/>
        <w:rPr>
          <w:sz w:val="20"/>
          <w:szCs w:val="20"/>
          <w:color w:val="auto"/>
        </w:rPr>
      </w:pPr>
    </w:p>
    <w:p>
      <w:pPr>
        <w:spacing w:after="0"/>
        <w:tabs>
          <w:tab w:leader="none" w:pos="5460" w:val="left"/>
        </w:tabs>
        <w:rPr>
          <w:sz w:val="20"/>
          <w:szCs w:val="20"/>
          <w:color w:val="auto"/>
        </w:rPr>
      </w:pPr>
      <w:r>
        <w:rPr>
          <w:rFonts w:ascii="Arial" w:cs="Arial" w:eastAsia="Arial" w:hAnsi="Arial"/>
          <w:sz w:val="17"/>
          <w:szCs w:val="17"/>
          <w:color w:val="auto"/>
        </w:rPr>
        <w:t>by the underwriters of their option to purchase additional shares,</w:t>
      </w:r>
      <w:r>
        <w:rPr>
          <w:sz w:val="20"/>
          <w:szCs w:val="20"/>
          <w:color w:val="auto"/>
        </w:rPr>
        <w:tab/>
      </w:r>
      <w:r>
        <w:rPr>
          <w:rFonts w:ascii="Arial" w:cs="Arial" w:eastAsia="Arial" w:hAnsi="Arial"/>
          <w:sz w:val="17"/>
          <w:szCs w:val="17"/>
          <w:color w:val="auto"/>
        </w:rPr>
        <w:t>shares of common stock will be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Holders of shares of our common stock will be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Subject to statutory or contractual restrictions on the payment of dividends and to any preferences that may be applicable to any then outstanding preferred stock, the holders of common stock will be entitled to receive dividends, if any, as may be declared from time to time by our board of directors out of legally available funds.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Holders of our common stock will have no preemptive, conversion or subscription rights, and there will be no redemption or sinking fund provisions applicable to our common stock. The rights, preferences and privileges of the holders of our common stock will be subject to, and may be adversely affected by, the rights of the holders of shares of any series of our preferred stock that we may designate and issue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will be, 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Under our amended and restated certificate of incorporation, our board of directors will have the authority, without further action by the stockholders,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things, have the effect of delaying, deferring, or preventing a change in our control that may otherwise benefit holders of our common stock and may adversely affect the market price of our common stock and the voting and other rights of the holders of common stock. We have no current plans to issue any shares of preferred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September 30, 2022, 5,198,260 RSUs were outstanding. As of September 30, 2022, there were shares of common stock available for future issuance under the 2014 Plan. For additional information regarding terms of the 2014 Plan, see “Executive Compensation—2014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Our Bylaws and Delaware Law</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amended and restated certificate of incorporation and our amended and restated bylaws, as they will be in effect immediately prior to the closing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will be subject to Section 203 of the DGCL,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16" w:lineRule="exact"/>
        <w:rPr>
          <w:sz w:val="20"/>
          <w:szCs w:val="20"/>
          <w:color w:val="auto"/>
        </w:rPr>
      </w:pPr>
    </w:p>
    <w:p>
      <w:pPr>
        <w:ind w:left="660" w:hanging="328"/>
        <w:spacing w:after="0" w:line="266" w:lineRule="auto"/>
        <w:tabs>
          <w:tab w:leader="none" w:pos="669"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which resulted in the stockholder becoming an interested stockholder;</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interested stockholder owned at least 85% of the voting stock of the corporation outstanding at the time the transaction commenced, excluding for purposes of determining the number of shares outstanding (but not the outstanding voting stock owned by the interested stockholder)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 w:lineRule="exact"/>
        <w:rPr>
          <w:rFonts w:ascii="Arial" w:cs="Arial" w:eastAsia="Arial" w:hAnsi="Arial"/>
          <w:sz w:val="17"/>
          <w:szCs w:val="17"/>
          <w:color w:val="auto"/>
        </w:rPr>
      </w:pPr>
    </w:p>
    <w:p>
      <w:pPr>
        <w:jc w:val="both"/>
        <w:ind w:left="660" w:hanging="328"/>
        <w:spacing w:after="0" w:line="261" w:lineRule="auto"/>
        <w:tabs>
          <w:tab w:leader="none" w:pos="669"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Section 203 defines a business combination to include:</w:t>
      </w:r>
    </w:p>
    <w:p>
      <w:pPr>
        <w:spacing w:after="0" w:line="18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3" w:lineRule="exact"/>
        <w:rPr>
          <w:rFonts w:ascii="Arial" w:cs="Arial" w:eastAsia="Arial" w:hAnsi="Arial"/>
          <w:sz w:val="17"/>
          <w:szCs w:val="17"/>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to or with the interested stockholder;</w:t>
      </w:r>
    </w:p>
    <w:p>
      <w:pPr>
        <w:spacing w:after="0" w:line="7" w:lineRule="exact"/>
        <w:rPr>
          <w:rFonts w:ascii="Arial" w:cs="Arial" w:eastAsia="Arial" w:hAnsi="Arial"/>
          <w:sz w:val="17"/>
          <w:szCs w:val="17"/>
          <w:color w:val="auto"/>
        </w:rPr>
      </w:pPr>
    </w:p>
    <w:p>
      <w:pPr>
        <w:ind w:left="660" w:right="20" w:hanging="328"/>
        <w:spacing w:after="0" w:line="248"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exceptions, any transaction involving the corporation that has the effect of increasing the proportionate share of the stock of any class or series of the corporation owned by the interested stockholder;</w:t>
      </w:r>
    </w:p>
    <w:p>
      <w:pPr>
        <w:spacing w:after="0" w:line="1" w:lineRule="exact"/>
        <w:rPr>
          <w:rFonts w:ascii="Arial" w:cs="Arial" w:eastAsia="Arial" w:hAnsi="Arial"/>
          <w:sz w:val="17"/>
          <w:szCs w:val="17"/>
          <w:color w:val="auto"/>
        </w:rPr>
      </w:pPr>
    </w:p>
    <w:p>
      <w:pPr>
        <w:ind w:left="660" w:hanging="328"/>
        <w:spacing w:after="0" w:line="256" w:lineRule="auto"/>
        <w:tabs>
          <w:tab w:leader="none" w:pos="669"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exceptions, any transaction that results in the issuance or transfer by the corporation of any stock of the corporation to the interested stockholder; and</w:t>
      </w:r>
    </w:p>
    <w:p>
      <w:pPr>
        <w:spacing w:after="0" w:line="1" w:lineRule="exact"/>
        <w:rPr>
          <w:rFonts w:ascii="Arial" w:cs="Arial" w:eastAsia="Arial" w:hAnsi="Arial"/>
          <w:sz w:val="17"/>
          <w:szCs w:val="17"/>
          <w:color w:val="auto"/>
        </w:rPr>
      </w:pPr>
    </w:p>
    <w:p>
      <w:pPr>
        <w:ind w:left="660" w:hanging="328"/>
        <w:spacing w:after="0" w:line="264"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to be effective upon completion of this offering will provide that all stockholder actions must be effected at a duly called meeting of stockholders and not by written consent. A special meeting of stockholders may be called by the majority of our board of directors, chair of our board of directors, our President, or our Chief Executive Officer.</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described above in “Management—Board Composition,” in accordance with our amended and restated certificate of incorporation effective immediately prior to the completion of this offering, our board of directors will be divided into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three classes, with the number of directors in each class being as nearly equal in number as possible. The directors in each class will serve for staggered three-year terms, one class being elected each year by our stockholders. These provisions may have the effect of deferring, delaying or discouraging hostile takeovers, or changes in control of us or our management.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our amended and restated certificate of incorporation and amended and restated bylaws will provide that the number of directors constituting our board of directors will be permitted to be set only by a resolution adopted by a majority vote of the members of our board of directors then in office, and that our directors may be removed only for cause. Our amended and restated certificate of incorporation and amended and restated bylaws will also provide that vacancies occurring on our board of directors and newly created directorships resulting from an increase in the authorized number of directors may be filled only by vote of a majority of the remaining members of our board of directors, even though less than a quorum. Our amended and restated certificate of incorporation and amended and restated bylaws will provide that our board of directors is expressly authorized to adopt, amend or repeal our bylaws, and require a 66 2/3% stockholder vote to amend our bylaws and certain provisions of our certificate of incorporation.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foregoing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the Court of Chancery of the State of Delaware (or, if that court lacks subject matter jurisdiction, another federal or state court situated in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bylaws, or any issue, in one or more series, of all or any of the remaining shares of preferred stock, and, in the resolution or resolutions providing for such issue; any action to interpret, apply, enforce, or determine the validity of our certificate of incorporation or our bylaws; or any action asserting a claim against us that is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In addition, our amended and restated certificate of incorporation and our amended and restated bylaws will provide that, unless we consent in writing to the selection of an alternative forum, the federal district courts of the United States of America will be the exclusive forum for the resolution of any complaint asserting a cause of action arising under the Securities Act. Such provision is intended to benefit and may be enforced by us, our officers and directors, employees and agents, including the underwriters and any other professional or entity who has prepared or certified any part of this prospectus. Although our amended and restated certificate of incorporation and amended and restated bylaws will contain the choice of forum provisions described above, it is possible that a court could find one or more of these provisions inapplicable for a particular claim or action or that such provision is unenforceable. Further, Section 27 of the Exchange Act creates exclusive federal jurisdiction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Nothing in our amended and restated certificate of incorporation or amended and restated bylaws preclude stockholders that assert claims under the Exchange Act from bringing such claims in state or federal court, subject to applicable law. Any person or entity purchasing or otherwise acquiring any interest in any of our securities will be deemed to have notice of and consented to the provisions of amended and restated certificate of incorporation or amended and restated bylaws described above. Although we believe these provisions benefit us by providing increased consistency in the application of Delaware law for the specified types of actions and proceedings, the provisions may have the effect of discouraging lawsuits against us or our directors and officers. The enforceability of similar choice of forum provisions in other companies’ certificates of incorporation has been challenged in legal proceedings, and it is possible that a court could find these types of provisions to be inapplicable or unenforceable. See “Risk Factors—Risks Related to This Offering and Ownership of Our Common Stock—Our amended and restated charter and bylaws that will be in effect upon the closing of this offering will designate the Court of Chancery of the State of Delaware as the sole and exclusive forum for certain types of actions and proceedings that may be initiated by our stockholders, and provides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240"/>
          </w:cols>
          <w:pgMar w:left="320" w:top="125" w:right="3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list our common stock on the Nasdaq</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Market under the symbol “SIVC.”</w:t>
      </w:r>
    </w:p>
    <w:p>
      <w:pPr>
        <w:spacing w:after="0" w:line="186" w:lineRule="exact"/>
        <w:rPr>
          <w:sz w:val="20"/>
          <w:szCs w:val="20"/>
          <w:color w:val="auto"/>
        </w:rPr>
      </w:pPr>
    </w:p>
    <w:p>
      <w:pPr>
        <w:sectPr>
          <w:pgSz w:w="11900" w:h="16838" w:orient="portrait"/>
          <w:cols w:equalWidth="0" w:num="2">
            <w:col w:w="4560" w:space="720"/>
            <w:col w:w="596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 Agent and Registrar</w:t>
      </w:r>
    </w:p>
    <w:p>
      <w:pPr>
        <w:sectPr>
          <w:pgSz w:w="11900" w:h="16838" w:orient="portrait"/>
          <w:cols w:equalWidth="0" w:num="1">
            <w:col w:w="11240"/>
          </w:cols>
          <w:pgMar w:left="320" w:top="125" w:right="339" w:bottom="1440" w:gutter="0" w:footer="0" w:header="0"/>
          <w:type w:val="continuous"/>
        </w:sectPr>
      </w:pPr>
    </w:p>
    <w:p>
      <w:pPr>
        <w:spacing w:after="0" w:line="8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Upon the closing of this offering, the transfer agent and registrar for our common stock will be is and the telephone number is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 The transfer agent and registrar’s address</w:t>
      </w:r>
    </w:p>
    <w:p>
      <w:pPr>
        <w:spacing w:after="0" w:line="467" w:lineRule="exact"/>
        <w:rPr>
          <w:sz w:val="20"/>
          <w:szCs w:val="20"/>
          <w:color w:val="auto"/>
        </w:rPr>
      </w:pPr>
    </w:p>
    <w:p>
      <w:pPr>
        <w:sectPr>
          <w:pgSz w:w="11900" w:h="16838" w:orient="portrait"/>
          <w:cols w:equalWidth="0" w:num="2">
            <w:col w:w="7220" w:space="720"/>
            <w:col w:w="3300"/>
          </w:cols>
          <w:pgMar w:left="320" w:top="125" w:right="339"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12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Immediately prior to this offering, there has been no public market for our common stock. Future sales of substantial amounts of our common stock in the public market, or the perception that such sales may occur, could adversely affect prevailing market prices. Furthermore, since only a limited number of shares will be available for sale shortly after this offering because of contractual and legal restrictions on resale described below, sales of substantial amounts of common stock in the public market after the restrictions lapse could adversely affect the prevailing market price for our common stock as well as our ability to raise equity capital in the future.</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Based on the number of shares of common stock outstanding as of September 30, 2022, upon completion of this offering, shares of common stock will be outstanding (after giving effect to a -for- split of our common stock expected to be completed prior to the completion</w:t>
      </w:r>
    </w:p>
    <w:p>
      <w:pPr>
        <w:jc w:val="both"/>
        <w:spacing w:after="0" w:line="254" w:lineRule="auto"/>
        <w:rPr>
          <w:sz w:val="20"/>
          <w:szCs w:val="20"/>
          <w:color w:val="auto"/>
        </w:rPr>
      </w:pPr>
      <w:r>
        <w:rPr>
          <w:rFonts w:ascii="Arial" w:cs="Arial" w:eastAsia="Arial" w:hAnsi="Arial"/>
          <w:sz w:val="17"/>
          <w:szCs w:val="17"/>
          <w:color w:val="auto"/>
        </w:rPr>
        <w:t>of this offering), assuming no exercise of the underwriters’ option to purchase additional shares. All of the shares sold in this offering will be freely tradable unless purchased by our “affiliates” as that term is defined in Rule 144 under the Securities Act. The 40,000,000 shares of common stock outstanding prior to this offering are restricted as a result of securities laws or lock-up agreements. These shares will generally become eligible for sale under Rule 144, subject to the volume limitations, manner-of-sale, and notice provisions described below under “Rule 144,” upon expiration of lock-up agreements at least six months after the date of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general, under Rule 144 as currently in effect, beginning 90 days after the effective date of the registration statement of which this prospectus is a part, any person who is not an affiliate of ours and has held their shares for at least six months, including the holding period of any prior owner other than one of our affiliates, may sell shares without restriction, provided current public information about us is available. In addition, under Rule 144, any person who is not an affiliate of ours and has held their shares for at least one year, including the holding period of any prior owner other than one of our affiliates, would be entitled to sell an unlimited number of shares immediately upon completion of this offering without regard to whether current public information about us is available.</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Beginning 90 days after the effective date of the registration statement of which this prospectus is a part, a person who is an affiliate of ours and who has beneficially owned restricted securities for at least six months, including the holding period of any prior owner other than one of our affiliates, is entitled to sell a number of restricted shares within any three-month period that does not exceed the greater of:</w:t>
      </w:r>
    </w:p>
    <w:p>
      <w:pPr>
        <w:spacing w:after="0" w:line="12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or</w:t>
      </w:r>
    </w:p>
    <w:p>
      <w:pPr>
        <w:spacing w:after="0" w:line="209" w:lineRule="exact"/>
        <w:rPr>
          <w:rFonts w:ascii="Arial" w:cs="Arial" w:eastAsia="Arial" w:hAnsi="Arial"/>
          <w:sz w:val="17"/>
          <w:szCs w:val="17"/>
          <w:color w:val="auto"/>
        </w:rPr>
      </w:pPr>
    </w:p>
    <w:p>
      <w:pPr>
        <w:ind w:left="660" w:hanging="328"/>
        <w:spacing w:after="0" w:line="284" w:lineRule="auto"/>
        <w:tabs>
          <w:tab w:leader="none" w:pos="6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during the four calendar weeks preceding the filing of a notice on Form 144 with respect to the sale.</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Sales of restricted shares under Rule 144 held by our affiliates are also subject to requirements regarding the manner-of-sale, notice, and the availability of current public information about us. Rule 144 also provides that affiliates relying on Rule 144 to sell shares of our common stock that are not restricted shares must nonetheless comply with the same restrictions applicable to restricted shares, other than the holding period requirement.</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Notwithstanding the availability of Rule 144, substantially all of our stockholders, as well as our directors and executive officers, have entered into lock-up agreements as described below and any restricted shares held by them will become eligible for sale at the expiration of the restrictions set forth in those agreements. After these contractual resale restrictions lapse, such stockholders and our directors and executive officers will be able to sell some or all of their shares of our common stock, subject only to applicable restrictions under federal and state securities laws.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Rule 701, shares of common stock acquired rights granted under compensatory stock plans may be resold by:</w:t>
      </w:r>
    </w:p>
    <w:p>
      <w:pPr>
        <w:spacing w:after="0" w:line="183" w:lineRule="exact"/>
        <w:rPr>
          <w:sz w:val="20"/>
          <w:szCs w:val="20"/>
          <w:color w:val="auto"/>
        </w:rPr>
      </w:pPr>
    </w:p>
    <w:p>
      <w:pPr>
        <w:ind w:left="660" w:right="20" w:hanging="328"/>
        <w:spacing w:after="0" w:line="258" w:lineRule="auto"/>
        <w:tabs>
          <w:tab w:leader="none" w:pos="669" w:val="left"/>
        </w:tabs>
        <w:numPr>
          <w:ilvl w:val="0"/>
          <w:numId w:val="73"/>
        </w:numPr>
        <w:rPr>
          <w:rFonts w:ascii="Arial" w:cs="Arial" w:eastAsia="Arial" w:hAnsi="Arial"/>
          <w:sz w:val="17"/>
          <w:szCs w:val="17"/>
          <w:color w:val="auto"/>
        </w:rPr>
      </w:pPr>
      <w:r>
        <w:rPr>
          <w:rFonts w:ascii="Arial" w:cs="Arial" w:eastAsia="Arial" w:hAnsi="Arial"/>
          <w:sz w:val="17"/>
          <w:szCs w:val="17"/>
          <w:color w:val="auto"/>
        </w:rPr>
        <w:t>persons other than affiliates, beginning 90 days after the effective date of the registration statement of which this prospectus is a part, subject only to the manner-of-sale provisions of Rule 144; and</w:t>
      </w:r>
    </w:p>
    <w:p>
      <w:pPr>
        <w:jc w:val="both"/>
        <w:ind w:left="660" w:hanging="328"/>
        <w:spacing w:after="0" w:line="265" w:lineRule="auto"/>
        <w:tabs>
          <w:tab w:leader="none" w:pos="682"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affiliates, beginning 90 days after the effective date of the registration statement of which this prospectus is a part, subject to the manner-of-sale and volume limitations, current public information, and filing requirements of Rule 144, in each case, without compliance with the six-month holding period requirement of Rule 144.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our executive officers, directors and the holders of substantially all of our outstanding stock and RSUs have entered into or will enter into lock-up agreements with the underwriters agreeing not to dispose of or hedge any of their common stock or securities convertible into or exchangeable for shares of common stock during the Restricted Period, subject to certain exceptions. Jefferies LLC may, in its sole discretion, permit early release of shares subject to the lock-up agreements.</w:t>
      </w:r>
    </w:p>
    <w:p>
      <w:pPr>
        <w:spacing w:after="0" w:line="119"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Upon the expiration of the lock-up period, substantially all of the shares subject to such lock-up restrictions will become eligible for sale, subject to the limitations discussed above. For a further description of these lock-up agreements, please see “Underwriting.”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soon as practicable after the completion of this offering, we intend to file with the SEC one or more registration statements on Form S-8 under the Securities Act to register the offer and sale of shares of our common stock that are issuable pursuant to the 2023 Plan and the ESPP. These registrations statements will become effective immediately upon filing. Shares covered by these registration statements will then be eligible for sale in the public markets, subject to vesting restrictions, any applicable lock-up agreements described above and Rule 144 limitations applicable to affiliates.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33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following is a summary of the material U.S. federal income tax considerations relating to the acquisition, ownership, and disposition of common stock acquired pursuant to this offering by non-U.S. holders (as defined below). This summary assumes that the shares of our common stock are held as capital assets (within the meaning of Section 1221 of the Code, which generally means property held for investment). This summary does not discuss all of the U.S. federal income tax considerations applicable to a non-U.S. holder that is subject to special treatment under U.S. federal income tax laws, including, but not limited to: a dealer in securities or currencies; a broker-dealer; a financial institution; a qualified retirement plan, an individual retirement plan, or other tax-deferred account; a regulated investment company; a real estate investment trust; a tax-exempt organization; an insurance company; a person holding common stock as part of a hedging, integrated, conversion, or straddle transaction or a person deemed to sell common stock under the constructive sale provisions of the Code; a trader in securities that has elected the mark-to-market method of tax accounting; an accrual method taxpayer subject to special tax accounting rules under Section 451(b) of the Code; an entity that is treated as a partnership or other pass-through entity for U.S. federal income tax purposes (and partners or beneficial owners therein); a person that received such common stock in connection with services provided; a corporation that accumulates earnings to avoid U.S. federal income tax; a corporation organized outside the United States, any state thereof or the District of Columbia that is nonetheless treated as a U.S. corporation for U.S. federal income tax purposes; a person that is not a non-U.S. holder; a “controlled foreign corporation;” a “passive foreign investment company;” or a U.S. expatriate.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summary is based upon provisions of the Code, its legislative history, applicable U.S. Treasury Regulations promulgated thereunder, published rulings, and judicial decisions, all as in effect as of the date hereof. Those authorities may be repealed, revoked, or modified, perhaps retroactively, or may be subject to differing interpretations, which could result in U.S. federal income tax consequences different from those discussed below. We have not sought, and will not seek, any ruling from the Internal Revenue Service, or the IRS, with respect to the tax consequences discussed herein, and there can be no assurance that the IRS will not take a position contrary to the tax consequences discussed below or that any position taken by the IRS would not be sustained. This summary does not address all aspects of U.S. federal income tax, does not deal with all tax considerations that may be relevant to a particular non-U.S. holder in light of that non-U.S. holder’s circumstances, and does not address the Medicare tax imposed on certain investment income or any state, local, foreign, gift, estate (except to the limited extent set forth herein), or alternative minimum tax considerations.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purposes of this discussion, a “U.S. holder” is a beneficial holder of common stock that is for U.S. federal income tax purposes: (i) an individual citizen or resident of the United States; (ii) a corporation (or any other entity treated as a corporation for U.S. federal income tax purposes) created or organized in or under the laws of the United States, any state thereof or the District of Columbia; (iii) an estate the income of which is subject to U.S. federal income taxation regardless of its source; or (iv) a trust if it (1) is subject to the primary supervision of a court within the United States and one or more U.S. persons have the authority to control all substantial decisions of the trust, or (2) was in existence on August 20, 1996 and has a valid election in effect under applicable U.S. Treasury Regulations to be treated as a U.S. person.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purposes of this discussion, a “non-U.S. holder” is a beneficial owner of our common stock that is neither a U.S. holder nor a partnership (or any other entity or arrangement that is treated as a partnership) for U.S. federal income tax purposes regardless of its place of organization or formation. If a partnership (or other entity or arrangement that is treated as a partnership for U.S. federal income tax purposes) holds our common stock, the tax treatment of a partner will generally depend upon the status of the partner and the activities of the partnership. A partner of a partnership holding our common stock is urged to consult its tax advisors as to the particular U.S. federal income tax consequences applicable to it.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PROSPECTIVE INVESTORS ARE URGED TO CONSULT THEIR TAX ADVISORS CONCERNING THE U.S. FEDERAL INCOME, ESTATE, AND OTHER TAX CONSEQUENCES OF ACQUIRING, OWNING, AND DISPOSING OF OUR COMMON STOCK IN LIGHT OF THEIR SPECIFIC SITUATIONS, AS WELL AS THE TAX CONSEQUENCES ARISING UNDER ANY STATE, LOCAL, OR NON-U.S. TAX LAWS AND ANY OTHER U.S. FEDERAL TAX LAWS (INCLUDING THE U.S. FEDERAL ESTATE AND GIFT TAX 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Distributions with respect to common stock, if any, generally will constitute dividends for U.S. federal income tax purposes to the extent paid out of our current or accumulated earnings and profits, as determined for U.S. federal income tax purposes. Any portion of a distribution in excess of our current or accumulated earnings and profits will be treated as a tax-free return of capital and will first be applied to reduce the non-U.S. holder’s tax basis in its common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stock, but not below zero. Any remaining amount will then be treated as gain from the sale or exchange of the common stock and will be treated as described under “—Disposition of Our Common Stock” below.</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Distributions treated as dividends that are paid to a non-U.S. holder, if any, with respect to shares of our common stock will be subject to U.S. federal withholding tax at a rate of 30% (or such lower rate as may be specified in an applicable income tax treaty between the United States and such holder’s country of residence) of the gross amount of the dividends unless the dividends are effectively connected with the non-U.S. holder’s conduct of a trade or business in the United States subject to the discussion below regarding foreign accounts. If a non-U.S. holder is engaged in a trade or business in the United States and dividends with respect to the common stock are effectively connected with the conduct of that trade or business and, if required by an applicable income tax treaty, are attributable to a U.S. permanent establishment, then although the non-U.S. holder will generally be exempt from the 30% U.S. federal withholding tax, provided certain certification requirements are satisfied, the non-U.S. holder will be subject to U.S. federal income tax on those dividends on a net income basis at regular U.S. federal income tax rates in the same manner as if such holder were a resident of the United States. Any such effectively connected income received by a foreign corporation may, under certain circumstances, be subject to an additional branch profits tax equal to 30% (or lower applicable income tax treaty rate between the United States and such holder’s country of residence) of its effectively connected earnings and profits for the taxable year, as adjusted under the Code. To claim the exemption from withholding with respect to any such effectively connected income, the non-U.S. holder must generally furnish to us or our paying agent a properly executed IRS Form W-8ECI (or applicable successor form). In the case of a non-U.S. holder that is an entity, U.S. Treasury Regulations and the applicable income tax treaty provide rules to determine whether, for purposes of determining the applicability of an income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Such holder’s agent will then be required to provide certification to us or our paying agent.</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 non-U.S. holder of our common stock that wishes to claim the benefit of a reduced rate of withholding tax under an applicable income tax treaty between the United States and such holder’s country of residence generally will be required to furnish to us or our paying agent a properly executed valid IRS Form W-8BEN or IRS Form W-8BEN-E (or applicable successor form) certifying such holder’s qualification for the exemption or reduced rate. If a non-U.S. holder is eligible for a reduced rate of U.S. withholding tax pursuant to an income tax treaty and does not timely file the required certification, it may obtain a refund or credit of any excess amounts withheld by timely filing a U.S. tax return with the IRS. Non-U.S. holders are urged to consult their tax advisors regarding their entitlement to benefits under a relevant income tax treaty.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Our Common Stock</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Subject to the discussion below regarding backup withholding, a non-U.S. holder generally will not be subject to U.S. federal income tax on any gain from a sale, exchange or other disposition of our common stock unless: (a) that gain is effectively connected with the non-U.S. holder’s conduct of a trade or business in the United States (and, if required by an applicable income tax treaty, is attributable to a U.S. permanent establishment or a fixed-base maintained by the non-U.S. holder); (b) the non-U.S. holder is a nonresident alien individual who is present in the United States for 183 days or more in the taxable year of that disposition, and certain other conditions are met; or (c) we are or have been a “United States real property holding corporation” within the meaning of Code Section 897(c)(2) for U.S. federal income tax purposes at any time during the shorter of the five-year period preceding the date of disposition or the holder’s holding period for our common stock, and certain other requirements are met. Although there can be no assurance, we believe that we are not, and we do not anticipate becoming, a United States real property holding corporation for U.S. federal income tax purposes. Even if we are treated as a United States real property holding corporation, gain realized by a non-U.S. holder on a disposition of our common stock will not be subject to U.S. federal income tax so long as (1) the non-U.S. holder owned, directly, indirectly, actually or constructively, no more than 5% of our common stock at all times within the shorter of (x) the five-year period preceding the disposition, or (y) the non-U.S. holder’s holding period, and (2) our common stock is regularly traded on an established securities market. Although Nasdaq qualifies as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applicable to U.S. persons and in addition, a purchaser of your common stock may be required to withhold tax with respect to that obligation.</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 non-U.S. holder is described in clause (a) of the preceding paragraph, the non-U.S. holder will generally be subject to tax on the net gain derived from the disposition at the regular U.S. federal income tax rates in the same manner as if such non-U.S. holder were a U.S. person, unless an applicable income tax treaty provides otherwise. In addition, a non-U.S. holder that is a corporation may be subject to the branch profits tax at a rate equal to 30% (or lower applicable income tax treaty rate) of its effectively connected earnings and profits. If the non-U.S. holder is an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individual described in clause (b) of the preceding paragraph, the non-U.S. holder will generally be subject to a flat 30% tax on the gain derived from the disposition, which may be offset by U.S. source capital losses even though the non-U.S. holder is not considered a resident of the United States, provided that the non-U.S. holder has timely filed U.S. federal income tax returns with respect to such losses.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estate of a nonresident alien individual is generally subject to U.S. federal estate tax on property he or she is treated as the owner of, or has made certain life transfers of, having a U.S. situs. Because we are a U.S. corporation, our common stock will be U.S. situs property and therefore will be included in the taxable estate of a nonresident alien decedent for U.S. federal estate tax purposes, unless an applicable estate tax treaty between the United States and the decedent’s country of residence provides otherwise. Non-U.S. holders are urged to consult their own tax advisors regarding the U.S. federal estate tax consequences of the ownership or disposition of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report to our non-U.S. holders and the IRS certain information with respect to any distribution we make on our common stock, including the gross amount of the distribution paid during each fiscal year, the name and address of the recipient, and the amount, if any, of tax withheld. All distributions to holders of common stock are subject to any applicable withholding. Information reporting requirements generally apply even if no withholding was required because the distributions were effectively connected with the non-U.S. holder’s conduct of a U.S. trade or business or withholding was reduced by an applicable income tax treaty. This information also may be made available under a specific treaty or agreement with the tax authorities in the country in which the non-U.S. 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on our common stock to a non-U.S. holder, provided the non-U.S. holder furnishes to us or our paying agent the required certification as to its non-U.S. status, such as by providing a valid IRS Form W-8BEN, IRS Form W-8BEN-E or IRS Form W-8ECI, or certain other requirements are met. Notwithstanding the foregoing, backup withholding may apply if either we or our paying agent has actual knowledge, or reason to know, that the holder is a U.S. person that is not an exempt recipient. Backup withholding is not an additional tax and any amounts withheld under the backup withholding rules will be allowed as a refund or a credit against a non-U.S. holder’s U.S. federal income tax liability, if any, provided the required information is timely furnished to the IRS.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 certain withholding taxes on certain types of payments made to “foreign financial institutions” (as specially defined under these rules) and certain other non-U.S. entities if certification, information reporting and other specified requirements are not met. A 30% withholding tax may apply to certain “withholdable payments” made to a “foreign financial institution” or to a “non-financial foreign entity,” (as defined under FATCA) unless (a) the “foreign financial institution” undertakes certain diligence and reporting obligations and other specified requirements are satisfied, (b) the non-financial foreign entity either certifies it does not have any substantial U.S. owners or furnishes identifying information regarding each substantial U.S. owner and other specified requirements are satisfied, or (c) the foreign entity is otherwise exempt under FATCA.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or comply with comparable requirements under an applicable inter-governmental agreement between the United States and the foreign financial institution’s home jurisdiction. “Withholdable payments” under FATCA generally include dividends on our common stock. Under proposed U.S. Treasury Regulations, on which taxpayers (including withholding agents) generally are permitted to rely pending finalization, FATCA withholding will not apply to gross proceeds from the sale or other disposition of our common stock. If an investor does not provide the information necessary to comply with these rules, it is possible that distributions to such investor will be subject to the 30% withholding tax. Holders should consult their own tax advisers regarding the implications of these rules on their investment in our common stock and the entities through which they hold our common stock, including without limitation, the process and deadlines for meeting the applicable requirements to avoid the imposition of the 30% withholding tax under FATCA.</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Subject to the terms and conditions set forth in the underwriting agreement, dated , among us, Jefferies LLC and Cowen and Company,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Underwriter</w:t>
            </w:r>
          </w:p>
        </w:tc>
        <w:tc>
          <w:tcPr>
            <w:tcW w:w="14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Number of Shares</w:t>
            </w:r>
          </w:p>
        </w:tc>
      </w:tr>
      <w:tr>
        <w:trPr>
          <w:trHeight w:val="224"/>
        </w:trPr>
        <w:tc>
          <w:tcPr>
            <w:tcW w:w="9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Jefferies LLC</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27"/>
        </w:trPr>
        <w:tc>
          <w:tcPr>
            <w:tcW w:w="9760" w:type="dxa"/>
            <w:vAlign w:val="bottom"/>
            <w:gridSpan w:val="2"/>
          </w:tcPr>
          <w:p>
            <w:pPr>
              <w:ind w:left="20"/>
              <w:spacing w:after="0"/>
              <w:rPr>
                <w:sz w:val="20"/>
                <w:szCs w:val="20"/>
                <w:color w:val="auto"/>
              </w:rPr>
            </w:pPr>
            <w:r>
              <w:rPr>
                <w:rFonts w:ascii="Arial" w:cs="Arial" w:eastAsia="Arial" w:hAnsi="Arial"/>
                <w:sz w:val="17"/>
                <w:szCs w:val="17"/>
                <w:color w:val="auto"/>
              </w:rPr>
              <w:t>Cowen and Company, LLC</w:t>
            </w:r>
          </w:p>
        </w:tc>
        <w:tc>
          <w:tcPr>
            <w:tcW w:w="1480" w:type="dxa"/>
            <w:vAlign w:val="bottom"/>
          </w:tcPr>
          <w:p>
            <w:pPr>
              <w:spacing w:after="0"/>
              <w:rPr>
                <w:sz w:val="19"/>
                <w:szCs w:val="19"/>
                <w:color w:val="auto"/>
              </w:rPr>
            </w:pPr>
          </w:p>
        </w:tc>
      </w:tr>
      <w:tr>
        <w:trPr>
          <w:trHeight w:val="232"/>
        </w:trPr>
        <w:tc>
          <w:tcPr>
            <w:tcW w:w="97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480" w:type="dxa"/>
            <w:vAlign w:val="bottom"/>
            <w:shd w:val="clear" w:color="auto" w:fill="CCEEFF"/>
          </w:tcPr>
          <w:p>
            <w:pPr>
              <w:spacing w:after="0"/>
              <w:rPr>
                <w:sz w:val="20"/>
                <w:szCs w:val="20"/>
                <w:color w:val="auto"/>
              </w:rPr>
            </w:pPr>
          </w:p>
        </w:tc>
      </w:tr>
      <w:tr>
        <w:trPr>
          <w:trHeight w:val="94"/>
        </w:trPr>
        <w:tc>
          <w:tcPr>
            <w:tcW w:w="9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except sales to accounts over which they have discretionary authority to exceed 5% of the common stock being offered.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 per share of common stock. The underwriters may allow, and certain dealers may reallow, a discount from the concession not in excess of $</w:t>
      </w:r>
    </w:p>
    <w:p>
      <w:pPr>
        <w:jc w:val="both"/>
        <w:ind w:right="20"/>
        <w:spacing w:after="0" w:line="265" w:lineRule="auto"/>
        <w:rPr>
          <w:sz w:val="20"/>
          <w:szCs w:val="20"/>
          <w:color w:val="auto"/>
        </w:rPr>
      </w:pPr>
      <w:r>
        <w:rPr>
          <w:rFonts w:ascii="Arial" w:cs="Arial" w:eastAsia="Arial" w:hAnsi="Arial"/>
          <w:sz w:val="17"/>
          <w:szCs w:val="17"/>
          <w:color w:val="auto"/>
        </w:rPr>
        <w:t>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Borders>
              <w:top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top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3"/>
          </w:tcPr>
          <w:p>
            <w:pPr>
              <w:jc w:val="right"/>
              <w:ind w:right="1281"/>
              <w:spacing w:after="0"/>
              <w:rPr>
                <w:sz w:val="20"/>
                <w:szCs w:val="20"/>
                <w:color w:val="auto"/>
              </w:rPr>
            </w:pPr>
            <w:r>
              <w:rPr>
                <w:rFonts w:ascii="Arial" w:cs="Arial" w:eastAsia="Arial" w:hAnsi="Arial"/>
                <w:sz w:val="14"/>
                <w:szCs w:val="14"/>
                <w:b w:val="1"/>
                <w:bCs w:val="1"/>
                <w:color w:val="auto"/>
              </w:rPr>
              <w:t>Total</w:t>
            </w:r>
          </w:p>
        </w:tc>
      </w:tr>
      <w:tr>
        <w:trPr>
          <w:trHeight w:val="143"/>
        </w:trPr>
        <w:tc>
          <w:tcPr>
            <w:tcW w:w="5040" w:type="dxa"/>
            <w:vAlign w:val="bottom"/>
          </w:tcPr>
          <w:p>
            <w:pPr>
              <w:spacing w:after="0"/>
              <w:rPr>
                <w:sz w:val="12"/>
                <w:szCs w:val="12"/>
                <w:color w:val="auto"/>
              </w:rPr>
            </w:pPr>
          </w:p>
        </w:tc>
        <w:tc>
          <w:tcPr>
            <w:tcW w:w="156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Without Option to</w:t>
            </w:r>
          </w:p>
        </w:tc>
        <w:tc>
          <w:tcPr>
            <w:tcW w:w="158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With Option to</w:t>
            </w:r>
          </w:p>
        </w:tc>
        <w:tc>
          <w:tcPr>
            <w:tcW w:w="15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Without Option to</w:t>
            </w: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With Option to</w:t>
            </w:r>
          </w:p>
        </w:tc>
      </w:tr>
      <w:tr>
        <w:trPr>
          <w:trHeight w:val="139"/>
        </w:trPr>
        <w:tc>
          <w:tcPr>
            <w:tcW w:w="5040" w:type="dxa"/>
            <w:vAlign w:val="bottom"/>
          </w:tcPr>
          <w:p>
            <w:pPr>
              <w:spacing w:after="0"/>
              <w:rPr>
                <w:sz w:val="12"/>
                <w:szCs w:val="12"/>
                <w:color w:val="auto"/>
              </w:rPr>
            </w:pPr>
          </w:p>
        </w:tc>
        <w:tc>
          <w:tcPr>
            <w:tcW w:w="15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Purchase Additional</w:t>
            </w:r>
          </w:p>
        </w:tc>
        <w:tc>
          <w:tcPr>
            <w:tcW w:w="15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Purchase Additional</w:t>
            </w:r>
          </w:p>
        </w:tc>
        <w:tc>
          <w:tcPr>
            <w:tcW w:w="15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Purchase Additional</w:t>
            </w: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Purchase Additional</w:t>
            </w:r>
          </w:p>
        </w:tc>
      </w:tr>
      <w:tr>
        <w:trPr>
          <w:trHeight w:val="197"/>
        </w:trPr>
        <w:tc>
          <w:tcPr>
            <w:tcW w:w="5040" w:type="dxa"/>
            <w:vAlign w:val="bottom"/>
          </w:tcPr>
          <w:p>
            <w:pPr>
              <w:spacing w:after="0"/>
              <w:rPr>
                <w:sz w:val="17"/>
                <w:szCs w:val="17"/>
                <w:color w:val="auto"/>
              </w:rPr>
            </w:pP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02"/>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301"/>
              <w:spacing w:after="0"/>
              <w:rPr>
                <w:sz w:val="20"/>
                <w:szCs w:val="20"/>
                <w:color w:val="auto"/>
              </w:rPr>
            </w:pPr>
            <w:r>
              <w:rPr>
                <w:rFonts w:ascii="Arial" w:cs="Arial" w:eastAsia="Arial" w:hAnsi="Arial"/>
                <w:sz w:val="17"/>
                <w:szCs w:val="17"/>
                <w:color w:val="auto"/>
                <w:w w:val="84"/>
              </w:rPr>
              <w:t>$</w:t>
            </w:r>
          </w:p>
        </w:tc>
      </w:tr>
      <w:tr>
        <w:trPr>
          <w:trHeight w:val="227"/>
        </w:trPr>
        <w:tc>
          <w:tcPr>
            <w:tcW w:w="50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paid by us</w:t>
            </w:r>
          </w:p>
        </w:tc>
        <w:tc>
          <w:tcPr>
            <w:tcW w:w="148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80" w:type="dxa"/>
            <w:vAlign w:val="bottom"/>
          </w:tcPr>
          <w:p>
            <w:pPr>
              <w:jc w:val="right"/>
              <w:ind w:right="1302"/>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480" w:type="dxa"/>
            <w:vAlign w:val="bottom"/>
          </w:tcPr>
          <w:p>
            <w:pPr>
              <w:jc w:val="right"/>
              <w:ind w:right="1301"/>
              <w:spacing w:after="0"/>
              <w:rPr>
                <w:sz w:val="20"/>
                <w:szCs w:val="20"/>
                <w:color w:val="auto"/>
              </w:rPr>
            </w:pPr>
            <w:r>
              <w:rPr>
                <w:rFonts w:ascii="Arial" w:cs="Arial" w:eastAsia="Arial" w:hAnsi="Arial"/>
                <w:sz w:val="17"/>
                <w:szCs w:val="17"/>
                <w:color w:val="auto"/>
                <w:w w:val="84"/>
              </w:rPr>
              <w:t>$</w:t>
            </w:r>
          </w:p>
        </w:tc>
      </w:tr>
      <w:tr>
        <w:trPr>
          <w:trHeight w:val="23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to us, before expenses</w:t>
            </w:r>
          </w:p>
        </w:tc>
        <w:tc>
          <w:tcPr>
            <w:tcW w:w="1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02"/>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01"/>
              <w:spacing w:after="0"/>
              <w:rPr>
                <w:sz w:val="20"/>
                <w:szCs w:val="20"/>
                <w:color w:val="auto"/>
              </w:rPr>
            </w:pPr>
            <w:r>
              <w:rPr>
                <w:rFonts w:ascii="Arial" w:cs="Arial" w:eastAsia="Arial" w:hAnsi="Arial"/>
                <w:sz w:val="17"/>
                <w:szCs w:val="17"/>
                <w:color w:val="auto"/>
                <w:w w:val="84"/>
              </w:rPr>
              <w:t>$</w:t>
            </w:r>
          </w:p>
        </w:tc>
      </w:tr>
      <w:tr>
        <w:trPr>
          <w:trHeight w:val="94"/>
        </w:trPr>
        <w:tc>
          <w:tcPr>
            <w:tcW w:w="50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w:t>
      </w:r>
    </w:p>
    <w:p>
      <w:pPr>
        <w:spacing w:after="0" w:line="23" w:lineRule="exact"/>
        <w:rPr>
          <w:sz w:val="20"/>
          <w:szCs w:val="20"/>
          <w:color w:val="auto"/>
        </w:rPr>
      </w:pPr>
    </w:p>
    <w:p>
      <w:pPr>
        <w:spacing w:after="0"/>
        <w:tabs>
          <w:tab w:leader="none" w:pos="2060" w:val="left"/>
        </w:tabs>
        <w:rPr>
          <w:sz w:val="20"/>
          <w:szCs w:val="20"/>
          <w:color w:val="auto"/>
        </w:rPr>
      </w:pPr>
      <w:r>
        <w:rPr>
          <w:rFonts w:ascii="Arial" w:cs="Arial" w:eastAsia="Arial" w:hAnsi="Arial"/>
          <w:sz w:val="17"/>
          <w:szCs w:val="17"/>
          <w:color w:val="auto"/>
        </w:rPr>
        <w:t>be approximately $</w:t>
      </w:r>
      <w:r>
        <w:rPr>
          <w:sz w:val="20"/>
          <w:szCs w:val="20"/>
          <w:color w:val="auto"/>
        </w:rPr>
        <w:tab/>
      </w:r>
      <w:r>
        <w:rPr>
          <w:rFonts w:ascii="Arial" w:cs="Arial" w:eastAsia="Arial" w:hAnsi="Arial"/>
          <w:sz w:val="17"/>
          <w:szCs w:val="17"/>
          <w:color w:val="auto"/>
        </w:rPr>
        <w:t>. We have also agreed to reimburse the underwriters for their expenses related to clearance of this offering with the</w:t>
      </w:r>
    </w:p>
    <w:p>
      <w:pPr>
        <w:spacing w:after="0" w:line="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Financial Industry Regulatory Authority, Inc., or FINRA, including the related fees and expenses of counsel for the underwriters up to $ . In accordance with FINRA Rule 5110, this reimbursed fee is deemed underwriting compensation for this offering.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73" w:lineRule="exact"/>
        <w:rPr>
          <w:sz w:val="20"/>
          <w:szCs w:val="20"/>
          <w:color w:val="auto"/>
        </w:rPr>
      </w:pPr>
    </w:p>
    <w:p>
      <w:pPr>
        <w:spacing w:after="0"/>
        <w:tabs>
          <w:tab w:leader="none" w:pos="5860" w:val="left"/>
        </w:tabs>
        <w:rPr>
          <w:sz w:val="20"/>
          <w:szCs w:val="20"/>
          <w:color w:val="auto"/>
        </w:rPr>
      </w:pPr>
      <w:r>
        <w:rPr>
          <w:rFonts w:ascii="Arial" w:cs="Arial" w:eastAsia="Arial" w:hAnsi="Arial"/>
          <w:sz w:val="17"/>
          <w:szCs w:val="17"/>
          <w:color w:val="auto"/>
        </w:rPr>
        <w:t>We intend to apply to have our common stock listed on the Nasdaq</w:t>
      </w:r>
      <w:r>
        <w:rPr>
          <w:sz w:val="20"/>
          <w:szCs w:val="20"/>
          <w:color w:val="auto"/>
        </w:rPr>
        <w:tab/>
      </w:r>
      <w:r>
        <w:rPr>
          <w:rFonts w:ascii="Arial" w:cs="Arial" w:eastAsia="Arial" w:hAnsi="Arial"/>
          <w:sz w:val="17"/>
          <w:szCs w:val="17"/>
          <w:color w:val="auto"/>
        </w:rPr>
        <w:t>Market under the trading symbol “SIVC”.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7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18" w:lineRule="exact"/>
        <w:rPr>
          <w:sz w:val="20"/>
          <w:szCs w:val="20"/>
          <w:color w:val="auto"/>
        </w:rPr>
      </w:pPr>
    </w:p>
    <w:p>
      <w:pPr>
        <w:ind w:left="660" w:hanging="328"/>
        <w:spacing w:after="0" w:line="262"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16a-1(h) under the Exchange Act of 1934; or</w:t>
      </w:r>
    </w:p>
    <w:p>
      <w:pPr>
        <w:jc w:val="both"/>
        <w:ind w:left="660" w:hanging="328"/>
        <w:spacing w:after="0" w:line="250" w:lineRule="auto"/>
        <w:tabs>
          <w:tab w:leader="none" w:pos="669"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sell or offer to sell any shares of common stock, options, warrants or other rights to acquire shares of common stock of any securities exchangeable or exercisable for or convertible into shares of common stock, or to acquire other securities or rights ultimately exchangeable or exercisable for or convertible into shares of common stock currently or hereafter owned either or record or beneficially (as defined in Rule 13d-3 under the Exchange Act) by such individual or their family member;</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enter into any swap;</w:t>
      </w:r>
    </w:p>
    <w:p>
      <w:pPr>
        <w:spacing w:after="0" w:line="13" w:lineRule="exact"/>
        <w:rPr>
          <w:rFonts w:ascii="Arial" w:cs="Arial" w:eastAsia="Arial" w:hAnsi="Arial"/>
          <w:sz w:val="17"/>
          <w:szCs w:val="17"/>
          <w:color w:val="auto"/>
        </w:rPr>
      </w:pPr>
    </w:p>
    <w:p>
      <w:pPr>
        <w:jc w:val="both"/>
        <w:ind w:left="660" w:hanging="328"/>
        <w:spacing w:after="0" w:line="251"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under the Securities Act of the offer and sale of any shares of common stock, options, warrants or other rights to acquire shares of common stock or any securities exchangeable or exercisable for or convertible into shares of common stock, or to acquire other securities or rights ultimately exchangeable or exercisable for or convertible into shares of common stock, or cause to be filed a registration statement, prospectus or prospectus supplement (or an amendment or supplement thereto) with respect to any such registration; or</w:t>
      </w:r>
    </w:p>
    <w:p>
      <w:pPr>
        <w:spacing w:after="0" w:line="3"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w:t>
      </w:r>
    </w:p>
    <w:p>
      <w:pPr>
        <w:spacing w:after="0" w:line="127"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restrictions on our directors, officers, and the holders of all of our outstanding equity securities described in the immediately preceding paragraph are subject to certain exceptions, including:</w:t>
      </w:r>
    </w:p>
    <w:p>
      <w:pPr>
        <w:spacing w:after="0" w:line="118" w:lineRule="exact"/>
        <w:rPr>
          <w:sz w:val="20"/>
          <w:szCs w:val="20"/>
          <w:color w:val="auto"/>
        </w:rPr>
      </w:pPr>
    </w:p>
    <w:p>
      <w:pPr>
        <w:jc w:val="both"/>
        <w:ind w:left="660" w:hanging="328"/>
        <w:spacing w:after="0" w:line="236"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transfers of common stock or securities convertible into or exercisable or exchangeable for shares of common stock by gift, including to a bona fide charitable organization, or by will or intestate succession to the legal representative, heir or beneficiary of the undersigned or any family member (as defined in the lock-up agreement) or to a trust whose beneficiaries consist exclusively of one or more of the undersigned and/or a family member;</w:t>
      </w:r>
    </w:p>
    <w:p>
      <w:pPr>
        <w:spacing w:after="0" w:line="3" w:lineRule="exact"/>
        <w:rPr>
          <w:rFonts w:ascii="Arial" w:cs="Arial" w:eastAsia="Arial" w:hAnsi="Arial"/>
          <w:sz w:val="17"/>
          <w:szCs w:val="17"/>
          <w:color w:val="auto"/>
        </w:rPr>
      </w:pPr>
    </w:p>
    <w:p>
      <w:pPr>
        <w:ind w:left="660" w:hanging="328"/>
        <w:spacing w:after="0" w:line="264"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transfers of common stock or securities convertible into or exercisable or exchangeable for shares of common stock pursuant to a domestic order or negotiated divorce settlement; provided that any filing under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660"/>
        <w:spacing w:after="0" w:line="265" w:lineRule="auto"/>
        <w:rPr>
          <w:sz w:val="20"/>
          <w:szCs w:val="20"/>
          <w:color w:val="auto"/>
        </w:rPr>
      </w:pPr>
      <w:r>
        <w:rPr>
          <w:rFonts w:ascii="Arial" w:cs="Arial" w:eastAsia="Arial" w:hAnsi="Arial"/>
          <w:sz w:val="17"/>
          <w:szCs w:val="17"/>
          <w:color w:val="auto"/>
        </w:rPr>
        <w:t>Section 16(a) of the Exchange Act shall clearly indicate in the footnotes thereto that the transfer is pursuant to a domestic order or negotiated divorce settlement, that no shares were sold by the reporting person and no other public announcement shall be required or shall be made voluntarily in connection with such exercise;</w:t>
      </w:r>
    </w:p>
    <w:p>
      <w:pPr>
        <w:jc w:val="both"/>
        <w:ind w:left="660" w:hanging="328"/>
        <w:spacing w:after="0" w:line="254" w:lineRule="auto"/>
        <w:tabs>
          <w:tab w:leader="none" w:pos="669"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the signatory is a corporation, partnership, limited liability company, trust or other business entity, distributions or transfers of shares of common stock or securities convertible into or exercisable or exchangeable for shares of common stock to (x) another corporation, partnership, limited liability company, trust or other business entity that is a direct or indirect affiliate (as defined in Rule 405 promulgated under the Securities Act) of the signatory, (y) any investment fund or other entity controlling, controlled by, managing or managed by or under common control with the signatory or affiliates of the signatory, or (z) limited partners, general partners, members, managers, managing members, stockholders, beneficiaries or other equity holders of the signatory or of the entities described in the preceding clauses</w:t>
      </w:r>
    </w:p>
    <w:p>
      <w:pPr>
        <w:spacing w:after="0" w:line="3" w:lineRule="exact"/>
        <w:rPr>
          <w:rFonts w:ascii="Arial" w:cs="Arial" w:eastAsia="Arial" w:hAnsi="Arial"/>
          <w:sz w:val="17"/>
          <w:szCs w:val="17"/>
          <w:color w:val="auto"/>
        </w:rPr>
      </w:pPr>
    </w:p>
    <w:p>
      <w:pPr>
        <w:jc w:val="both"/>
        <w:ind w:left="660"/>
        <w:spacing w:after="0" w:line="256" w:lineRule="auto"/>
        <w:rPr>
          <w:rFonts w:ascii="Arial" w:cs="Arial" w:eastAsia="Arial" w:hAnsi="Arial"/>
          <w:sz w:val="17"/>
          <w:szCs w:val="17"/>
          <w:color w:val="auto"/>
        </w:rPr>
      </w:pPr>
      <w:r>
        <w:rPr>
          <w:rFonts w:ascii="Arial" w:cs="Arial" w:eastAsia="Arial" w:hAnsi="Arial"/>
          <w:sz w:val="17"/>
          <w:szCs w:val="17"/>
          <w:color w:val="auto"/>
        </w:rPr>
        <w:t>(x) and (y); provided that such transfer shall not involve a disposition for value and provided further that, if required, any public report or filing under Section 16(a) of the Exchange Act with regards to such transfer shall clearly indicate in the footnotes thereto that the filing relates to the circumstances described in this clause, that no shares were sold by the reporting person and no other public announcement shall be required or shall be made voluntarily in connection with such transfer;</w:t>
      </w:r>
    </w:p>
    <w:p>
      <w:pPr>
        <w:jc w:val="both"/>
        <w:ind w:left="660" w:hanging="328"/>
        <w:spacing w:after="0" w:line="258" w:lineRule="auto"/>
        <w:tabs>
          <w:tab w:leader="none" w:pos="6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transfers or dispositions of shares to the Company as forfeitures or the withholding of shares (x) to satisfy tax withholding and remittance obligations of the signatory in connection with the vesting or exercise of equity awards granted pursuant to our equity incentive plans described herein or (y) pursuant to a net exercise or cashless exercise by the undersigned of outstanding equity awards pursuant to our equity incentive plans described herein; provided that the shares issued upon such exercise or vesting shall continue to be subject to the restrictions on transfer set forth in the lock-up agreement; and provided further, that, if required, any public report or filing under Section 16 of the Exchange Act shall clearly indicate in the footnotes thereto that the filing relates to the net settlement of an equity award or the withholding of shares is to satisfy tax withholding, as applicable, that no shares were sold by the reporting person and that shares received upon exercise or vesting are subject to the lock-up agreement;</w:t>
      </w:r>
    </w:p>
    <w:p>
      <w:pPr>
        <w:spacing w:after="0" w:line="6"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transfers of shares or securities convertible into or exercisable or exchangeable for shares of common stock pursuant to a change of control of us (meaning the consummation of any bona fide third party tender offer, merger, consolidation or other similar transaction made to all holders of shares the result of which is that any “person” (as defined in Section 13(d)(3) of the Exchange Act), or group of persons, becomes the beneficial owner (as defined in Rules 13d-3 and 13d-5 of the Exchange Act) of more than 50% of the voting capital stock of us) after this offering that has been approved by the independent members of our board of directors, provided that in the event that such change of control is not completed, the shares or securities convertible into or exercisable or exchangeable for shares of common stock owned by the signatory shall remain subject to the restrictions in the lock-up agreement; and</w:t>
      </w:r>
    </w:p>
    <w:p>
      <w:pPr>
        <w:spacing w:after="0" w:line="6" w:lineRule="exact"/>
        <w:rPr>
          <w:rFonts w:ascii="Arial" w:cs="Arial" w:eastAsia="Arial" w:hAnsi="Arial"/>
          <w:sz w:val="17"/>
          <w:szCs w:val="17"/>
          <w:color w:val="auto"/>
        </w:rPr>
      </w:pPr>
    </w:p>
    <w:p>
      <w:pPr>
        <w:jc w:val="both"/>
        <w:ind w:left="660" w:hanging="328"/>
        <w:spacing w:after="0" w:line="257" w:lineRule="auto"/>
        <w:tabs>
          <w:tab w:leader="none" w:pos="68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transfers of shares or securities convertible into or exercisable or exchangeable for shares of common stock to us as a result of the termination of employment of the signatory pursuant to agreements that are in effect as of the date of the underwriting agreement for this offering and disclosed herein, under which we have the option to repurchase such shares or securities convertible into or exercisable or exchangeable for shares of common stock or a right of first refusal with respect to transfers of such shares or securities convertible into or exercisable or exchangeable for shares of common stock; provided that no filing under the Exchange Act or other public disclosure shall be voluntarily made during the Restricted Period and any filing under the Exchange Act or other public disclosure required to be made during the Restricted Period shall include a statement to the effect that such transfer relates to the circumstances described herein.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restrictions on us described above are subject to certain exceptions, including:</w:t>
      </w:r>
    </w:p>
    <w:p>
      <w:pPr>
        <w:spacing w:after="0" w:line="169"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sale of the shares to the underwriters in connection with this offering;</w:t>
      </w:r>
    </w:p>
    <w:p>
      <w:pPr>
        <w:spacing w:after="0" w:line="47" w:lineRule="exact"/>
        <w:rPr>
          <w:rFonts w:ascii="Arial" w:cs="Arial" w:eastAsia="Arial" w:hAnsi="Arial"/>
          <w:sz w:val="17"/>
          <w:szCs w:val="17"/>
          <w:color w:val="auto"/>
        </w:rPr>
      </w:pPr>
    </w:p>
    <w:p>
      <w:pPr>
        <w:ind w:left="660" w:hanging="328"/>
        <w:spacing w:after="0" w:line="273" w:lineRule="auto"/>
        <w:tabs>
          <w:tab w:leader="none" w:pos="68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issuance by us of shares of common stock upon the vesting and settlement of an RSU, or the conversion of any other security outstanding on the date of this prospectus; or</w:t>
      </w:r>
    </w:p>
    <w:p>
      <w:pPr>
        <w:jc w:val="both"/>
        <w:ind w:left="660" w:hanging="328"/>
        <w:spacing w:after="0" w:line="274" w:lineRule="auto"/>
        <w:tabs>
          <w:tab w:leader="none" w:pos="669"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issuance of shares of common stock or options to purchase shares common stock granted pursuant to our existing employee benefit plans, stock incentive plans and any employee stock purchase plan referred to in the registration statement of which this prospectus forms a part.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underwriters may also engage in passive market making transactions in our common stock on Nasdaq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 site maintained by any of the underwriters is not part of this prospectus, has not been approved and/or endorsed by us or the underwriters and should not be relied upon by investors.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Resale Restrictions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Representations of Canadian Purchasers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By purchasing shares of common stock in Canada and accepting delivery of a purchase confirmation, a purchaser is representing to us and the dealer from whom the purchase confirmation is received that:</w:t>
      </w:r>
    </w:p>
    <w:p>
      <w:pPr>
        <w:spacing w:after="0" w:line="118" w:lineRule="exact"/>
        <w:rPr>
          <w:sz w:val="20"/>
          <w:szCs w:val="20"/>
          <w:color w:val="auto"/>
        </w:rPr>
      </w:pPr>
    </w:p>
    <w:p>
      <w:pPr>
        <w:jc w:val="both"/>
        <w:ind w:left="660" w:hanging="328"/>
        <w:spacing w:after="0" w:line="255" w:lineRule="auto"/>
        <w:tabs>
          <w:tab w:leader="none" w:pos="682"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of common stock without the benefit of a prospectus qualified under those securities laws as it is an “accredited investor” as defined under National Instrument 45-106 – Prospectus Exemptions or Section 73.3(1) of the Securities Act (Ontario), as applicable,</w:t>
      </w:r>
    </w:p>
    <w:p>
      <w:pPr>
        <w:ind w:left="660" w:hanging="328"/>
        <w:spacing w:after="0" w:line="252" w:lineRule="auto"/>
        <w:tabs>
          <w:tab w:leader="none" w:pos="682"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where required by law, the purchaser is purchasing as principal and not as agent, and</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purchaser has reviewed the text above under Resale Restrictions.</w:t>
      </w:r>
    </w:p>
    <w:p>
      <w:pPr>
        <w:spacing w:after="0" w:line="171" w:lineRule="exact"/>
        <w:rPr>
          <w:rFonts w:ascii="Arial" w:cs="Arial" w:eastAsia="Arial" w:hAnsi="Arial"/>
          <w:sz w:val="17"/>
          <w:szCs w:val="17"/>
          <w:color w:val="auto"/>
        </w:rPr>
      </w:pPr>
    </w:p>
    <w:p>
      <w:pPr>
        <w:ind w:left="300" w:hanging="292"/>
        <w:spacing w:after="0"/>
        <w:tabs>
          <w:tab w:leader="none" w:pos="30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Conflicts of Interest</w:t>
      </w:r>
    </w:p>
    <w:p>
      <w:pPr>
        <w:spacing w:after="0" w:line="3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Canadian purchasers are hereby notified that each of the underwriters are relying on the exemption set out in section 3A.3 or 3A.4, if applicable, of National Instrument 33-105 – Underwriting Conflicts from having to provide certain conflict of interest disclosure in this document.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Statutory Rights of Action</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shares of common stock in Canada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Enforcement of Legal Rights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Taxation and Eligibility for Investment</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30" w:lineRule="exact"/>
        <w:rPr>
          <w:sz w:val="20"/>
          <w:szCs w:val="20"/>
          <w:color w:val="auto"/>
        </w:rPr>
      </w:pPr>
    </w:p>
    <w:p>
      <w:pPr>
        <w:ind w:left="640" w:hanging="308"/>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29" w:lineRule="exact"/>
        <w:rPr>
          <w:rFonts w:ascii="Arial" w:cs="Arial" w:eastAsia="Arial" w:hAnsi="Arial"/>
          <w:sz w:val="17"/>
          <w:szCs w:val="17"/>
          <w:color w:val="auto"/>
        </w:rPr>
      </w:pPr>
    </w:p>
    <w:p>
      <w:pPr>
        <w:jc w:val="both"/>
        <w:ind w:left="980" w:hanging="324"/>
        <w:spacing w:after="0" w:line="251" w:lineRule="auto"/>
        <w:tabs>
          <w:tab w:leader="none" w:pos="968" w:val="left"/>
        </w:tabs>
        <w:numPr>
          <w:ilvl w:val="1"/>
          <w:numId w:val="79"/>
        </w:numPr>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7" w:lineRule="exact"/>
        <w:rPr>
          <w:rFonts w:ascii="Arial" w:cs="Arial" w:eastAsia="Arial" w:hAnsi="Arial"/>
          <w:sz w:val="17"/>
          <w:szCs w:val="17"/>
          <w:color w:val="auto"/>
        </w:rPr>
      </w:pPr>
    </w:p>
    <w:p>
      <w:pPr>
        <w:ind w:left="960" w:hanging="304"/>
        <w:spacing w:after="0"/>
        <w:tabs>
          <w:tab w:leader="none" w:pos="9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18" w:lineRule="exact"/>
        <w:rPr>
          <w:sz w:val="20"/>
          <w:szCs w:val="20"/>
          <w:color w:val="auto"/>
        </w:rPr>
      </w:pPr>
    </w:p>
    <w:p>
      <w:pPr>
        <w:jc w:val="both"/>
        <w:ind w:left="660" w:right="20" w:hanging="328"/>
        <w:spacing w:after="0" w:line="274" w:lineRule="auto"/>
        <w:tabs>
          <w:tab w:leader="none" w:pos="650" w:val="left"/>
        </w:tabs>
        <w:numPr>
          <w:ilvl w:val="0"/>
          <w:numId w:val="80"/>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shares of common stock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have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w:t>
      </w:r>
    </w:p>
    <w:p>
      <w:pPr>
        <w:spacing w:after="0" w:line="139" w:lineRule="exact"/>
        <w:rPr>
          <w:sz w:val="20"/>
          <w:szCs w:val="20"/>
          <w:color w:val="auto"/>
        </w:rPr>
      </w:pPr>
    </w:p>
    <w:p>
      <w:pPr>
        <w:ind w:left="640" w:hanging="308"/>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47" w:lineRule="exact"/>
        <w:rPr>
          <w:rFonts w:ascii="Arial" w:cs="Arial" w:eastAsia="Arial" w:hAnsi="Arial"/>
          <w:sz w:val="17"/>
          <w:szCs w:val="17"/>
          <w:color w:val="auto"/>
        </w:rPr>
      </w:pPr>
    </w:p>
    <w:p>
      <w:pPr>
        <w:ind w:left="660" w:hanging="328"/>
        <w:spacing w:after="0" w:line="273" w:lineRule="auto"/>
        <w:tabs>
          <w:tab w:leader="none" w:pos="65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representatives for any such offer; or</w:t>
      </w:r>
    </w:p>
    <w:p>
      <w:pPr>
        <w:jc w:val="both"/>
        <w:ind w:left="660" w:hanging="328"/>
        <w:spacing w:after="0" w:line="266" w:lineRule="auto"/>
        <w:tabs>
          <w:tab w:leader="none" w:pos="654"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 provided that no such offer of the shares of common stock shall require us or any of the representatives to publish a prospectus pursuant to Article 3 of the Prospectus Regulation or supplement a prospectus pursuant to Article 23 of the Prospectus Regulation.</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the purposes of this provision, the expression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No shares of common stock have been offered or sold, and no shares of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common stock which are or are intended to be disposed of only to persons outside Hong Kong or only to “professional investors” as defined in the SFO and any rules made under that Ordinance.</w:t>
      </w: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common stock may not be offered for subscription to members of the public in Hong Kong. Each person acquiring the shares of common stock will be required, and is deemed by the acquisition of the shares of common stock, to confirm that he is aware of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restriction on offers of the shares of common stock described in this prospectus and the relevant offering documents and that he is not acquiring, and has not been offered any shares of common stock in circumstances that contravene any such restrictions.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shares of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3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of common stock are subscribed or purchased under Section 275 of the SFA by a relevant person which is:</w:t>
      </w:r>
    </w:p>
    <w:p>
      <w:pPr>
        <w:spacing w:after="0" w:line="183" w:lineRule="exact"/>
        <w:rPr>
          <w:sz w:val="20"/>
          <w:szCs w:val="20"/>
          <w:color w:val="auto"/>
        </w:rPr>
      </w:pPr>
    </w:p>
    <w:p>
      <w:pPr>
        <w:ind w:left="660" w:right="20" w:hanging="328"/>
        <w:spacing w:after="0" w:line="273" w:lineRule="auto"/>
        <w:tabs>
          <w:tab w:leader="none" w:pos="65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66" w:lineRule="auto"/>
        <w:tabs>
          <w:tab w:leader="none" w:pos="65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32" w:lineRule="exact"/>
        <w:rPr>
          <w:rFonts w:ascii="Arial" w:cs="Arial" w:eastAsia="Arial" w:hAnsi="Arial"/>
          <w:sz w:val="17"/>
          <w:szCs w:val="17"/>
          <w:color w:val="auto"/>
        </w:rPr>
      </w:pPr>
    </w:p>
    <w:p>
      <w:pPr>
        <w:ind w:left="980" w:hanging="324"/>
        <w:spacing w:after="0" w:line="258" w:lineRule="auto"/>
        <w:tabs>
          <w:tab w:leader="none" w:pos="971"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ind w:left="960" w:hanging="304"/>
        <w:spacing w:after="0"/>
        <w:tabs>
          <w:tab w:leader="none" w:pos="9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7" w:lineRule="exact"/>
        <w:rPr>
          <w:rFonts w:ascii="Arial" w:cs="Arial" w:eastAsia="Arial" w:hAnsi="Arial"/>
          <w:sz w:val="17"/>
          <w:szCs w:val="17"/>
          <w:color w:val="auto"/>
        </w:rPr>
      </w:pPr>
    </w:p>
    <w:p>
      <w:pPr>
        <w:ind w:left="980" w:hanging="324"/>
        <w:spacing w:after="0"/>
        <w:tabs>
          <w:tab w:leader="none" w:pos="9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7" w:lineRule="exact"/>
        <w:rPr>
          <w:rFonts w:ascii="Arial" w:cs="Arial" w:eastAsia="Arial" w:hAnsi="Arial"/>
          <w:sz w:val="17"/>
          <w:szCs w:val="17"/>
          <w:color w:val="auto"/>
        </w:rPr>
      </w:pPr>
    </w:p>
    <w:p>
      <w:pPr>
        <w:ind w:left="960" w:hanging="304"/>
        <w:spacing w:after="0"/>
        <w:tabs>
          <w:tab w:leader="none" w:pos="9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3" w:lineRule="exact"/>
        <w:rPr>
          <w:rFonts w:ascii="Arial" w:cs="Arial" w:eastAsia="Arial" w:hAnsi="Arial"/>
          <w:sz w:val="17"/>
          <w:szCs w:val="17"/>
          <w:color w:val="auto"/>
        </w:rPr>
      </w:pPr>
    </w:p>
    <w:p>
      <w:pPr>
        <w:ind w:left="980" w:hanging="324"/>
        <w:spacing w:after="0" w:line="273" w:lineRule="auto"/>
        <w:tabs>
          <w:tab w:leader="none" w:pos="965" w:val="left"/>
        </w:tabs>
        <w:numPr>
          <w:ilvl w:val="1"/>
          <w:numId w:val="82"/>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 shares of common stock have been offered or will be offered pursuant to the 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133" w:lineRule="exact"/>
        <w:rPr>
          <w:sz w:val="20"/>
          <w:szCs w:val="20"/>
          <w:color w:val="auto"/>
        </w:rPr>
      </w:pPr>
    </w:p>
    <w:p>
      <w:pPr>
        <w:ind w:left="640" w:hanging="308"/>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47" w:lineRule="exact"/>
        <w:rPr>
          <w:rFonts w:ascii="Arial" w:cs="Arial" w:eastAsia="Arial" w:hAnsi="Arial"/>
          <w:sz w:val="17"/>
          <w:szCs w:val="17"/>
          <w:color w:val="auto"/>
        </w:rPr>
      </w:pPr>
    </w:p>
    <w:p>
      <w:pPr>
        <w:ind w:left="660" w:hanging="328"/>
        <w:spacing w:after="0" w:line="273" w:lineRule="auto"/>
        <w:tabs>
          <w:tab w:leader="none" w:pos="65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ind w:left="640" w:hanging="308"/>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or FSMA,</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provided that no such offer of the shares of common stock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validity of the shares of common stock being offered by this prospectus will be passed upon for us by DLA Piper LLP (US), Palo Alto,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Cooley LLP, Palo Alto, California is acting as counsel for the underwriters.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consolidated financial statements of Silvaco Group, Inc. as of December 31, 2020 and 2021, and for the years then ended, included in this prospectus have been audited by Moss Adams LLP, an independent registered public accounting firm, as stated in their report included herein. Such consolidated financial statements have been so included in reliance upon the report of such firm given upon their authority as experts in accounting and auditing.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 You may also request a copy of these filings, at no cost, by writing us at 4701 Patrick Henry Drive, Building #23, Santa Clara, CA 95054.</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Exchange Act and we will file reports, proxy statements and other information with the SEC. These reports, proxy statements and other information will be available at the web site of the SEC referred to above. We also maintain a website at www.silvaco.com,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auto"/>
            </w:tcBorders>
          </w:tcPr>
          <w:p>
            <w:pPr>
              <w:spacing w:after="0"/>
              <w:rPr>
                <w:sz w:val="18"/>
                <w:szCs w:val="18"/>
                <w:color w:val="auto"/>
              </w:rPr>
            </w:pPr>
          </w:p>
        </w:tc>
        <w:tc>
          <w:tcPr>
            <w:tcW w:w="10400" w:type="dxa"/>
            <w:vAlign w:val="bottom"/>
            <w:tcBorders>
              <w:top w:val="single" w:sz="8" w:color="auto"/>
            </w:tcBorders>
            <w:gridSpan w:val="13"/>
            <w:vMerge w:val="restart"/>
          </w:tcPr>
          <w:p>
            <w:pPr>
              <w:spacing w:after="0"/>
              <w:rPr>
                <w:sz w:val="20"/>
                <w:szCs w:val="20"/>
                <w:color w:val="auto"/>
              </w:rPr>
            </w:pPr>
            <w:r>
              <w:rPr>
                <w:rFonts w:ascii="Arial" w:cs="Arial" w:eastAsia="Arial" w:hAnsi="Arial"/>
                <w:sz w:val="17"/>
                <w:szCs w:val="17"/>
                <w:color w:val="auto"/>
              </w:rPr>
              <w:t>Audited Consolidated Financial Statements as of and for the Years Ended December 31, 2020 and 2021</w:t>
            </w: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00" w:type="dxa"/>
            <w:vAlign w:val="bottom"/>
            <w:gridSpan w:val="13"/>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8"/>
          </w:tcPr>
          <w:p>
            <w:pPr>
              <w:spacing w:after="0" w:line="189" w:lineRule="exact"/>
              <w:rPr>
                <w:sz w:val="20"/>
                <w:szCs w:val="20"/>
                <w:color w:val="auto"/>
              </w:rPr>
            </w:pPr>
            <w:r>
              <w:rPr>
                <w:rFonts w:ascii="Arial" w:cs="Arial" w:eastAsia="Arial" w:hAnsi="Arial"/>
                <w:sz w:val="17"/>
                <w:szCs w:val="17"/>
                <w:color w:val="0000FF"/>
              </w:rPr>
              <w:t>Report of Independent Registered Public Accounting Firm</w:t>
            </w:r>
          </w:p>
        </w:tc>
        <w:tc>
          <w:tcPr>
            <w:tcW w:w="6020" w:type="dxa"/>
            <w:vAlign w:val="bottom"/>
            <w:gridSpan w:val="5"/>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3"/>
          </w:tcPr>
          <w:p>
            <w:pPr>
              <w:jc w:val="center"/>
              <w:ind w:right="280"/>
              <w:spacing w:after="0" w:line="189" w:lineRule="exact"/>
              <w:rPr>
                <w:sz w:val="20"/>
                <w:szCs w:val="20"/>
                <w:color w:val="auto"/>
              </w:rPr>
            </w:pPr>
            <w:r>
              <w:rPr>
                <w:rFonts w:ascii="Arial" w:cs="Arial" w:eastAsia="Arial" w:hAnsi="Arial"/>
                <w:sz w:val="17"/>
                <w:szCs w:val="17"/>
                <w:color w:val="0000FF"/>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8"/>
          </w:tcPr>
          <w:p>
            <w:pPr>
              <w:spacing w:after="0"/>
              <w:rPr>
                <w:sz w:val="20"/>
                <w:szCs w:val="20"/>
                <w:color w:val="auto"/>
              </w:rPr>
            </w:pPr>
            <w:r>
              <w:rPr>
                <w:rFonts w:ascii="Arial" w:cs="Arial" w:eastAsia="Arial" w:hAnsi="Arial"/>
                <w:sz w:val="17"/>
                <w:szCs w:val="17"/>
                <w:color w:val="0000FF"/>
              </w:rPr>
              <w:t>Consolidated Balance Sheets</w:t>
            </w:r>
          </w:p>
        </w:tc>
        <w:tc>
          <w:tcPr>
            <w:tcW w:w="602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7"/>
                <w:szCs w:val="17"/>
                <w:color w:val="0000FF"/>
              </w:rPr>
              <w:t>F-3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7"/>
                <w:szCs w:val="17"/>
                <w:color w:val="0000FF"/>
              </w:rPr>
              <w:t>Consolidated Statements of Income (Loss)</w:t>
            </w:r>
          </w:p>
        </w:tc>
        <w:tc>
          <w:tcPr>
            <w:tcW w:w="7160" w:type="dxa"/>
            <w:vAlign w:val="bottom"/>
            <w:gridSpan w:val="10"/>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7"/>
                <w:szCs w:val="17"/>
                <w:color w:val="0000FF"/>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9"/>
          </w:tcPr>
          <w:p>
            <w:pPr>
              <w:spacing w:after="0"/>
              <w:rPr>
                <w:sz w:val="20"/>
                <w:szCs w:val="20"/>
                <w:color w:val="auto"/>
              </w:rPr>
            </w:pPr>
            <w:r>
              <w:rPr>
                <w:rFonts w:ascii="Arial" w:cs="Arial" w:eastAsia="Arial" w:hAnsi="Arial"/>
                <w:sz w:val="17"/>
                <w:szCs w:val="17"/>
                <w:color w:val="0000FF"/>
              </w:rPr>
              <w:t>Consolidated Statements of Comprehensive Income (Loss)</w:t>
            </w:r>
          </w:p>
        </w:tc>
        <w:tc>
          <w:tcPr>
            <w:tcW w:w="59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7"/>
                <w:szCs w:val="17"/>
                <w:color w:val="0000FF"/>
              </w:rPr>
              <w:t>F-5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rPr>
              <w:t>Consolidated Statements of Stockholders' Equity</w:t>
            </w:r>
          </w:p>
        </w:tc>
        <w:tc>
          <w:tcPr>
            <w:tcW w:w="780" w:type="dxa"/>
            <w:vAlign w:val="bottom"/>
            <w:gridSpan w:val="4"/>
          </w:tcPr>
          <w:p>
            <w:pPr>
              <w:spacing w:after="0"/>
              <w:rPr>
                <w:sz w:val="18"/>
                <w:szCs w:val="18"/>
                <w:color w:val="auto"/>
              </w:rPr>
            </w:pPr>
          </w:p>
        </w:tc>
        <w:tc>
          <w:tcPr>
            <w:tcW w:w="59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7"/>
                <w:szCs w:val="17"/>
                <w:color w:val="0000FF"/>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rPr>
              <w:t>Consolidated Statements of Cash Flows</w:t>
            </w:r>
          </w:p>
        </w:tc>
        <w:tc>
          <w:tcPr>
            <w:tcW w:w="670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7"/>
                <w:szCs w:val="17"/>
                <w:color w:val="0000FF"/>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4"/>
          </w:tcPr>
          <w:p>
            <w:pPr>
              <w:spacing w:after="0"/>
              <w:rPr>
                <w:sz w:val="20"/>
                <w:szCs w:val="20"/>
                <w:color w:val="auto"/>
              </w:rPr>
            </w:pPr>
            <w:r>
              <w:rPr>
                <w:rFonts w:ascii="Arial" w:cs="Arial" w:eastAsia="Arial" w:hAnsi="Arial"/>
                <w:sz w:val="17"/>
                <w:szCs w:val="17"/>
                <w:color w:val="0000FF"/>
              </w:rPr>
              <w:t>Notes to the Consolidated Financial Statements</w:t>
            </w:r>
          </w:p>
        </w:tc>
        <w:tc>
          <w:tcPr>
            <w:tcW w:w="6780" w:type="dxa"/>
            <w:vAlign w:val="bottom"/>
            <w:gridSpan w:val="9"/>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7"/>
                <w:szCs w:val="17"/>
                <w:color w:val="0000FF"/>
              </w:rPr>
              <w:t>F-8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10400" w:type="dxa"/>
            <w:vAlign w:val="bottom"/>
            <w:gridSpan w:val="13"/>
          </w:tcPr>
          <w:p>
            <w:pPr>
              <w:spacing w:after="0"/>
              <w:rPr>
                <w:sz w:val="20"/>
                <w:szCs w:val="20"/>
                <w:color w:val="auto"/>
              </w:rPr>
            </w:pPr>
            <w:r>
              <w:rPr>
                <w:rFonts w:ascii="Arial" w:cs="Arial" w:eastAsia="Arial" w:hAnsi="Arial"/>
                <w:sz w:val="17"/>
                <w:szCs w:val="17"/>
                <w:color w:val="auto"/>
              </w:rPr>
              <w:t>Unaudited Condensed Consolidated Financial Statements as of December 31, 2021 and September 30, 2022 and for the Nine Months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13"/>
          </w:tcPr>
          <w:p>
            <w:pPr>
              <w:spacing w:after="0"/>
              <w:rPr>
                <w:sz w:val="20"/>
                <w:szCs w:val="20"/>
                <w:color w:val="auto"/>
              </w:rPr>
            </w:pPr>
            <w:r>
              <w:rPr>
                <w:rFonts w:ascii="Arial" w:cs="Arial" w:eastAsia="Arial" w:hAnsi="Arial"/>
                <w:sz w:val="17"/>
                <w:szCs w:val="17"/>
                <w:color w:val="auto"/>
              </w:rPr>
              <w:t>Ended September 30, 2021 and 2022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00" w:type="dxa"/>
            <w:vAlign w:val="bottom"/>
            <w:gridSpan w:val="6"/>
          </w:tcPr>
          <w:p>
            <w:pPr>
              <w:spacing w:after="0" w:line="185" w:lineRule="exact"/>
              <w:rPr>
                <w:sz w:val="20"/>
                <w:szCs w:val="20"/>
                <w:color w:val="auto"/>
              </w:rPr>
            </w:pPr>
            <w:r>
              <w:rPr>
                <w:rFonts w:ascii="Arial" w:cs="Arial" w:eastAsia="Arial" w:hAnsi="Arial"/>
                <w:sz w:val="17"/>
                <w:szCs w:val="17"/>
                <w:color w:val="0000FF"/>
              </w:rPr>
              <w:t>Unaudited Condensed Consolidated Balance Sheets</w:t>
            </w:r>
          </w:p>
        </w:tc>
        <w:tc>
          <w:tcPr>
            <w:tcW w:w="6400" w:type="dxa"/>
            <w:vAlign w:val="bottom"/>
            <w:gridSpan w:val="7"/>
          </w:tcPr>
          <w:p>
            <w:pPr>
              <w:spacing w:after="0"/>
              <w:rPr>
                <w:sz w:val="16"/>
                <w:szCs w:val="16"/>
                <w:color w:val="auto"/>
              </w:rPr>
            </w:pPr>
          </w:p>
        </w:tc>
        <w:tc>
          <w:tcPr>
            <w:tcW w:w="820" w:type="dxa"/>
            <w:vAlign w:val="bottom"/>
            <w:gridSpan w:val="4"/>
          </w:tcPr>
          <w:p>
            <w:pPr>
              <w:jc w:val="center"/>
              <w:spacing w:after="0" w:line="185" w:lineRule="exact"/>
              <w:rPr>
                <w:sz w:val="20"/>
                <w:szCs w:val="20"/>
                <w:color w:val="auto"/>
              </w:rPr>
            </w:pPr>
            <w:r>
              <w:rPr>
                <w:rFonts w:ascii="Arial" w:cs="Arial" w:eastAsia="Arial" w:hAnsi="Arial"/>
                <w:sz w:val="17"/>
                <w:szCs w:val="17"/>
                <w:color w:val="0000FF"/>
              </w:rPr>
              <w:t>F-28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00" w:type="dxa"/>
            <w:vAlign w:val="bottom"/>
            <w:gridSpan w:val="13"/>
          </w:tcPr>
          <w:p>
            <w:pPr>
              <w:spacing w:after="0"/>
              <w:rPr>
                <w:sz w:val="20"/>
                <w:szCs w:val="20"/>
                <w:color w:val="auto"/>
              </w:rPr>
            </w:pPr>
            <w:r>
              <w:rPr>
                <w:rFonts w:ascii="Arial" w:cs="Arial" w:eastAsia="Arial" w:hAnsi="Arial"/>
                <w:sz w:val="17"/>
                <w:szCs w:val="17"/>
                <w:color w:val="0000FF"/>
              </w:rPr>
              <w:t>Unaudited Condensed Consolidated Statements of Loss</w:t>
            </w:r>
          </w:p>
        </w:tc>
        <w:tc>
          <w:tcPr>
            <w:tcW w:w="820" w:type="dxa"/>
            <w:vAlign w:val="bottom"/>
            <w:gridSpan w:val="4"/>
          </w:tcPr>
          <w:p>
            <w:pPr>
              <w:jc w:val="center"/>
              <w:spacing w:after="0"/>
              <w:rPr>
                <w:sz w:val="20"/>
                <w:szCs w:val="20"/>
                <w:color w:val="auto"/>
              </w:rPr>
            </w:pPr>
            <w:r>
              <w:rPr>
                <w:rFonts w:ascii="Arial" w:cs="Arial" w:eastAsia="Arial" w:hAnsi="Arial"/>
                <w:sz w:val="17"/>
                <w:szCs w:val="17"/>
                <w:color w:val="0000FF"/>
              </w:rPr>
              <w:t>F-29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gridSpan w:val="7"/>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00" w:type="dxa"/>
            <w:vAlign w:val="bottom"/>
            <w:gridSpan w:val="13"/>
          </w:tcPr>
          <w:p>
            <w:pPr>
              <w:spacing w:after="0"/>
              <w:rPr>
                <w:sz w:val="20"/>
                <w:szCs w:val="20"/>
                <w:color w:val="auto"/>
              </w:rPr>
            </w:pPr>
            <w:r>
              <w:rPr>
                <w:rFonts w:ascii="Arial" w:cs="Arial" w:eastAsia="Arial" w:hAnsi="Arial"/>
                <w:sz w:val="17"/>
                <w:szCs w:val="17"/>
                <w:color w:val="0000FF"/>
              </w:rPr>
              <w:t>Unaudited Condensed Consolidated Statements of Comprehensive Loss</w:t>
            </w:r>
          </w:p>
        </w:tc>
        <w:tc>
          <w:tcPr>
            <w:tcW w:w="820" w:type="dxa"/>
            <w:vAlign w:val="bottom"/>
            <w:gridSpan w:val="4"/>
          </w:tcPr>
          <w:p>
            <w:pPr>
              <w:jc w:val="center"/>
              <w:spacing w:after="0"/>
              <w:rPr>
                <w:sz w:val="20"/>
                <w:szCs w:val="20"/>
                <w:color w:val="auto"/>
              </w:rPr>
            </w:pPr>
            <w:r>
              <w:rPr>
                <w:rFonts w:ascii="Arial" w:cs="Arial" w:eastAsia="Arial" w:hAnsi="Arial"/>
                <w:sz w:val="17"/>
                <w:szCs w:val="17"/>
                <w:color w:val="0000FF"/>
              </w:rPr>
              <w:t>F-30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960" w:type="dxa"/>
            <w:vAlign w:val="bottom"/>
            <w:tcBorders>
              <w:left w:val="single" w:sz="8" w:color="0000FF"/>
            </w:tcBorders>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Arial" w:cs="Arial" w:eastAsia="Arial" w:hAnsi="Arial"/>
                <w:sz w:val="17"/>
                <w:szCs w:val="17"/>
                <w:color w:val="0000FF"/>
                <w:w w:val="99"/>
              </w:rPr>
              <w:t>Unaudited Condensed Consolidated Statements of Stockholders' Equity</w:t>
            </w:r>
          </w:p>
        </w:tc>
        <w:tc>
          <w:tcPr>
            <w:tcW w:w="496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7"/>
                <w:szCs w:val="17"/>
                <w:color w:val="0000FF"/>
              </w:rPr>
              <w:t>F-31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10"/>
          </w:tcPr>
          <w:p>
            <w:pPr>
              <w:spacing w:after="0"/>
              <w:rPr>
                <w:sz w:val="20"/>
                <w:szCs w:val="20"/>
                <w:color w:val="auto"/>
              </w:rPr>
            </w:pPr>
            <w:r>
              <w:rPr>
                <w:rFonts w:ascii="Arial" w:cs="Arial" w:eastAsia="Arial" w:hAnsi="Arial"/>
                <w:sz w:val="17"/>
                <w:szCs w:val="17"/>
                <w:color w:val="0000FF"/>
              </w:rPr>
              <w:t>Unaudited Condensed Consolidated Statements of Cash Flows</w:t>
            </w:r>
          </w:p>
        </w:tc>
        <w:tc>
          <w:tcPr>
            <w:tcW w:w="640" w:type="dxa"/>
            <w:vAlign w:val="bottom"/>
            <w:gridSpan w:val="2"/>
          </w:tcPr>
          <w:p>
            <w:pPr>
              <w:spacing w:after="0"/>
              <w:rPr>
                <w:sz w:val="18"/>
                <w:szCs w:val="18"/>
                <w:color w:val="auto"/>
              </w:rPr>
            </w:pPr>
          </w:p>
        </w:tc>
        <w:tc>
          <w:tcPr>
            <w:tcW w:w="496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7"/>
                <w:szCs w:val="17"/>
                <w:color w:val="0000FF"/>
              </w:rPr>
              <w:t>F-32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10"/>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00" w:type="dxa"/>
            <w:vAlign w:val="bottom"/>
            <w:gridSpan w:val="13"/>
          </w:tcPr>
          <w:p>
            <w:pPr>
              <w:spacing w:after="0"/>
              <w:rPr>
                <w:sz w:val="20"/>
                <w:szCs w:val="20"/>
                <w:color w:val="auto"/>
              </w:rPr>
            </w:pPr>
            <w:r>
              <w:rPr>
                <w:rFonts w:ascii="Arial" w:cs="Arial" w:eastAsia="Arial" w:hAnsi="Arial"/>
                <w:sz w:val="17"/>
                <w:szCs w:val="17"/>
                <w:color w:val="0000FF"/>
              </w:rPr>
              <w:t>Notes to the Unaudited Condensed Consolidated Financial Statements</w:t>
            </w:r>
          </w:p>
        </w:tc>
        <w:tc>
          <w:tcPr>
            <w:tcW w:w="820" w:type="dxa"/>
            <w:vAlign w:val="bottom"/>
            <w:gridSpan w:val="4"/>
          </w:tcPr>
          <w:p>
            <w:pPr>
              <w:jc w:val="center"/>
              <w:spacing w:after="0"/>
              <w:rPr>
                <w:sz w:val="20"/>
                <w:szCs w:val="20"/>
                <w:color w:val="auto"/>
              </w:rPr>
            </w:pPr>
            <w:r>
              <w:rPr>
                <w:rFonts w:ascii="Arial" w:cs="Arial" w:eastAsia="Arial" w:hAnsi="Arial"/>
                <w:sz w:val="17"/>
                <w:szCs w:val="17"/>
                <w:color w:val="0000FF"/>
              </w:rPr>
              <w:t>F-33</w:t>
            </w: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2240" w:type="dxa"/>
            <w:vAlign w:val="bottom"/>
            <w:tcBorders>
              <w:top w:val="single" w:sz="8" w:color="0000FF"/>
              <w:bottom w:val="single" w:sz="8" w:color="auto"/>
            </w:tcBorders>
          </w:tcPr>
          <w:p>
            <w:pPr>
              <w:spacing w:after="0"/>
              <w:rPr>
                <w:sz w:val="11"/>
                <w:szCs w:val="11"/>
                <w:color w:val="auto"/>
              </w:rPr>
            </w:pPr>
          </w:p>
        </w:tc>
        <w:tc>
          <w:tcPr>
            <w:tcW w:w="800" w:type="dxa"/>
            <w:vAlign w:val="bottom"/>
            <w:tcBorders>
              <w:top w:val="single" w:sz="8" w:color="0000FF"/>
              <w:bottom w:val="single" w:sz="8" w:color="auto"/>
            </w:tcBorders>
          </w:tcPr>
          <w:p>
            <w:pPr>
              <w:spacing w:after="0"/>
              <w:rPr>
                <w:sz w:val="11"/>
                <w:szCs w:val="11"/>
                <w:color w:val="auto"/>
              </w:rPr>
            </w:pPr>
          </w:p>
        </w:tc>
        <w:tc>
          <w:tcPr>
            <w:tcW w:w="200" w:type="dxa"/>
            <w:vAlign w:val="bottom"/>
            <w:tcBorders>
              <w:top w:val="single" w:sz="8" w:color="0000FF"/>
              <w:bottom w:val="single" w:sz="8" w:color="auto"/>
            </w:tcBorders>
          </w:tcPr>
          <w:p>
            <w:pPr>
              <w:spacing w:after="0"/>
              <w:rPr>
                <w:sz w:val="11"/>
                <w:szCs w:val="11"/>
                <w:color w:val="auto"/>
              </w:rPr>
            </w:pPr>
          </w:p>
        </w:tc>
        <w:tc>
          <w:tcPr>
            <w:tcW w:w="38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300" w:type="dxa"/>
            <w:vAlign w:val="bottom"/>
            <w:tcBorders>
              <w:top w:val="single" w:sz="8" w:color="0000FF"/>
              <w:bottom w:val="single" w:sz="8" w:color="auto"/>
            </w:tcBorders>
          </w:tcPr>
          <w:p>
            <w:pPr>
              <w:spacing w:after="0"/>
              <w:rPr>
                <w:sz w:val="11"/>
                <w:szCs w:val="11"/>
                <w:color w:val="auto"/>
              </w:rPr>
            </w:pPr>
          </w:p>
        </w:tc>
        <w:tc>
          <w:tcPr>
            <w:tcW w:w="260" w:type="dxa"/>
            <w:vAlign w:val="bottom"/>
            <w:tcBorders>
              <w:top w:val="single" w:sz="8" w:color="0000FF"/>
              <w:bottom w:val="single" w:sz="8" w:color="auto"/>
            </w:tcBorders>
          </w:tcPr>
          <w:p>
            <w:pPr>
              <w:spacing w:after="0"/>
              <w:rPr>
                <w:sz w:val="11"/>
                <w:szCs w:val="11"/>
                <w:color w:val="auto"/>
              </w:rPr>
            </w:pPr>
          </w:p>
        </w:tc>
        <w:tc>
          <w:tcPr>
            <w:tcW w:w="120" w:type="dxa"/>
            <w:vAlign w:val="bottom"/>
            <w:tcBorders>
              <w:top w:val="single" w:sz="8" w:color="0000FF"/>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320" w:type="dxa"/>
            <w:vAlign w:val="bottom"/>
            <w:tcBorders>
              <w:top w:val="single" w:sz="8" w:color="0000FF"/>
              <w:bottom w:val="single" w:sz="8" w:color="auto"/>
            </w:tcBorders>
          </w:tcPr>
          <w:p>
            <w:pPr>
              <w:spacing w:after="0"/>
              <w:rPr>
                <w:sz w:val="11"/>
                <w:szCs w:val="11"/>
                <w:color w:val="auto"/>
              </w:rPr>
            </w:pPr>
          </w:p>
        </w:tc>
        <w:tc>
          <w:tcPr>
            <w:tcW w:w="560" w:type="dxa"/>
            <w:vAlign w:val="bottom"/>
            <w:tcBorders>
              <w:top w:val="single" w:sz="8" w:color="0000FF"/>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top w:val="single" w:sz="8" w:color="0000FF"/>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60" w:type="dxa"/>
            <w:vAlign w:val="bottom"/>
          </w:tcPr>
          <w:p>
            <w:pPr>
              <w:ind w:left="40"/>
              <w:spacing w:after="0"/>
              <w:rPr>
                <w:sz w:val="20"/>
                <w:szCs w:val="20"/>
                <w:color w:val="auto"/>
              </w:rPr>
            </w:pPr>
            <w:r>
              <w:rPr>
                <w:rFonts w:ascii="Arial" w:cs="Arial" w:eastAsia="Arial" w:hAnsi="Arial"/>
                <w:sz w:val="17"/>
                <w:szCs w:val="17"/>
                <w:color w:val="auto"/>
              </w:rPr>
              <w:t>F-1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Silvaco Group, Inc.</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consolidated balance sheets of Silvaco Group, Inc. (the “Company”) as of December 31, 2020 and 2021, and the related consolidated statements of income (loss), comprehensive income (loss), stockholders’ equity, and cash flows for the years then ended, and the related notes to the consolidated financial statements (collectively referred to as the “consolidated financial statements”). In our opinion, the consolidated financial statements present fairly, in all material respects, the consolidated financial position of the Company as of December 31, 2020 and 2021, and the consolidated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 Moss Adams LLP</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23, 2022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par value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Cash</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9,720</w:t>
            </w:r>
          </w:p>
        </w:tc>
        <w:tc>
          <w:tcPr>
            <w:tcW w:w="4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6,704</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4,466</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Contract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6,977</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2,221</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25,606</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20,368</w:t>
            </w:r>
          </w:p>
        </w:tc>
        <w:tc>
          <w:tcPr>
            <w:tcW w:w="0" w:type="dxa"/>
            <w:vAlign w:val="bottom"/>
          </w:tcPr>
          <w:p>
            <w:pPr>
              <w:spacing w:after="0"/>
              <w:rPr>
                <w:sz w:val="1"/>
                <w:szCs w:val="1"/>
                <w:color w:val="auto"/>
              </w:rPr>
            </w:pP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9,026</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portion of contract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2,465</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Notes receivable from related party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35,727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payable</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460" w:type="dxa"/>
            <w:vAlign w:val="bottom"/>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8,169</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income taxes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Deferred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5,415</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notes payable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19,507</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16,925</w:t>
            </w:r>
          </w:p>
        </w:tc>
        <w:tc>
          <w:tcPr>
            <w:tcW w:w="0" w:type="dxa"/>
            <w:vAlign w:val="bottom"/>
          </w:tcPr>
          <w:p>
            <w:pPr>
              <w:spacing w:after="0"/>
              <w:rPr>
                <w:sz w:val="1"/>
                <w:szCs w:val="1"/>
                <w:color w:val="auto"/>
              </w:rPr>
            </w:pP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Long-term portion of deferred revenue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3,541</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note payable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24,671</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21,357</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Arial" w:cs="Arial" w:eastAsia="Arial" w:hAnsi="Arial"/>
                <w:sz w:val="17"/>
                <w:szCs w:val="17"/>
                <w:color w:val="auto"/>
              </w:rPr>
              <w:t>Commitments and contingencies (Note 14)</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140" w:type="dxa"/>
            <w:vAlign w:val="bottom"/>
          </w:tcPr>
          <w:p>
            <w:pPr>
              <w:ind w:left="240"/>
              <w:spacing w:after="0" w:line="167" w:lineRule="exact"/>
              <w:rPr>
                <w:sz w:val="20"/>
                <w:szCs w:val="20"/>
                <w:color w:val="auto"/>
              </w:rPr>
            </w:pPr>
            <w:r>
              <w:rPr>
                <w:rFonts w:ascii="Arial" w:cs="Arial" w:eastAsia="Arial" w:hAnsi="Arial"/>
                <w:sz w:val="17"/>
                <w:szCs w:val="17"/>
                <w:color w:val="auto"/>
              </w:rPr>
              <w:t>Common stock, $0.0001 par value; 50,000,000 shares authorized; 40,000,000 shares issued and</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5"/>
        </w:trPr>
        <w:tc>
          <w:tcPr>
            <w:tcW w:w="8140" w:type="dxa"/>
            <w:vAlign w:val="bottom"/>
          </w:tcPr>
          <w:p>
            <w:pPr>
              <w:ind w:left="400"/>
              <w:spacing w:after="0"/>
              <w:rPr>
                <w:sz w:val="20"/>
                <w:szCs w:val="20"/>
                <w:color w:val="auto"/>
              </w:rPr>
            </w:pPr>
            <w:r>
              <w:rPr>
                <w:rFonts w:ascii="Arial" w:cs="Arial" w:eastAsia="Arial" w:hAnsi="Arial"/>
                <w:sz w:val="17"/>
                <w:szCs w:val="17"/>
                <w:color w:val="auto"/>
              </w:rPr>
              <w:t>outstanding</w:t>
            </w:r>
          </w:p>
        </w:tc>
        <w:tc>
          <w:tcPr>
            <w:tcW w:w="3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Retained earnings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15,854</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17,242</w:t>
            </w:r>
          </w:p>
        </w:tc>
        <w:tc>
          <w:tcPr>
            <w:tcW w:w="10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14,370</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35,727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27,826</w:t>
            </w:r>
          </w:p>
        </w:tc>
        <w:tc>
          <w:tcPr>
            <w:tcW w:w="44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29,687</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41,963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8,653</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33,310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13,539</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10,331</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12,976</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27,966</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36,846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income (loss)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(3,536)</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debt extinguishment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 provision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(1,575)</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2,550</w:t>
            </w:r>
          </w:p>
        </w:tc>
        <w:tc>
          <w:tcPr>
            <w:tcW w:w="10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(loss)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4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40,000,000</w:t>
            </w:r>
          </w:p>
        </w:tc>
        <w:tc>
          <w:tcPr>
            <w:tcW w:w="0" w:type="dxa"/>
            <w:vAlign w:val="bottom"/>
          </w:tcPr>
          <w:p>
            <w:pPr>
              <w:spacing w:after="0"/>
              <w:rPr>
                <w:sz w:val="1"/>
                <w:szCs w:val="1"/>
                <w:color w:val="auto"/>
              </w:rPr>
            </w:pPr>
          </w:p>
        </w:tc>
      </w:tr>
      <w:tr>
        <w:trPr>
          <w:trHeight w:val="95"/>
        </w:trPr>
        <w:tc>
          <w:tcPr>
            <w:tcW w:w="8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9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3,610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(2,872)</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480" w:type="dxa"/>
            <w:vAlign w:val="bottom"/>
            <w:gridSpan w:val="3"/>
            <w:vMerge w:val="restart"/>
          </w:tcPr>
          <w:p>
            <w:pPr>
              <w:jc w:val="right"/>
              <w:ind w:right="47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40" w:type="dxa"/>
            <w:vAlign w:val="bottom"/>
          </w:tcPr>
          <w:p>
            <w:pPr>
              <w:spacing w:after="0"/>
              <w:rPr>
                <w:sz w:val="10"/>
                <w:szCs w:val="10"/>
                <w:color w:val="auto"/>
              </w:rPr>
            </w:pPr>
          </w:p>
        </w:tc>
        <w:tc>
          <w:tcPr>
            <w:tcW w:w="2480" w:type="dxa"/>
            <w:vAlign w:val="bottom"/>
            <w:tcBorders>
              <w:bottom w:val="single" w:sz="8" w:color="auto"/>
            </w:tcBorders>
            <w:gridSpan w:val="3"/>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8"/>
              <w:spacing w:after="0" w:line="116"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0"/>
                <w:szCs w:val="10"/>
                <w:color w:val="auto"/>
              </w:rPr>
            </w:pPr>
          </w:p>
        </w:tc>
        <w:tc>
          <w:tcPr>
            <w:tcW w:w="1380" w:type="dxa"/>
            <w:vAlign w:val="bottom"/>
            <w:gridSpan w:val="2"/>
          </w:tcPr>
          <w:p>
            <w:pPr>
              <w:ind w:left="20"/>
              <w:spacing w:after="0" w:line="116" w:lineRule="exact"/>
              <w:rPr>
                <w:sz w:val="20"/>
                <w:szCs w:val="20"/>
                <w:color w:val="auto"/>
              </w:rPr>
            </w:pPr>
            <w:r>
              <w:rPr>
                <w:rFonts w:ascii="Arial" w:cs="Arial" w:eastAsia="Arial" w:hAnsi="Arial"/>
                <w:sz w:val="13"/>
                <w:szCs w:val="13"/>
                <w:b w:val="1"/>
                <w:bCs w:val="1"/>
                <w:color w:val="auto"/>
              </w:rPr>
              <w:t>Total Stockholders’</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Retained 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18"/>
              <w:spacing w:after="0"/>
              <w:rPr>
                <w:sz w:val="20"/>
                <w:szCs w:val="20"/>
                <w:color w:val="auto"/>
              </w:rPr>
            </w:pPr>
            <w:r>
              <w:rPr>
                <w:rFonts w:ascii="Arial" w:cs="Arial" w:eastAsia="Arial" w:hAnsi="Arial"/>
                <w:sz w:val="14"/>
                <w:szCs w:val="14"/>
                <w:b w:val="1"/>
                <w:bCs w:val="1"/>
                <w:color w:val="auto"/>
              </w:rPr>
              <w:t>(Loss)/Income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January 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40,000,000</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8"/>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13,632</w:t>
            </w:r>
          </w:p>
        </w:tc>
        <w:tc>
          <w:tcPr>
            <w:tcW w:w="0" w:type="dxa"/>
            <w:vAlign w:val="bottom"/>
          </w:tcPr>
          <w:p>
            <w:pPr>
              <w:spacing w:after="0"/>
              <w:rPr>
                <w:sz w:val="1"/>
                <w:szCs w:val="1"/>
                <w:color w:val="auto"/>
              </w:rPr>
            </w:pPr>
          </w:p>
        </w:tc>
      </w:tr>
      <w:tr>
        <w:trPr>
          <w:trHeight w:val="227"/>
        </w:trPr>
        <w:tc>
          <w:tcPr>
            <w:tcW w:w="4040" w:type="dxa"/>
            <w:vAlign w:val="bottom"/>
          </w:tcPr>
          <w:p>
            <w:pPr>
              <w:ind w:left="240"/>
              <w:spacing w:after="0"/>
              <w:rPr>
                <w:sz w:val="20"/>
                <w:szCs w:val="20"/>
                <w:color w:val="auto"/>
              </w:rPr>
            </w:pPr>
            <w:r>
              <w:rPr>
                <w:rFonts w:ascii="Arial" w:cs="Arial" w:eastAsia="Arial" w:hAnsi="Arial"/>
                <w:sz w:val="17"/>
                <w:szCs w:val="17"/>
                <w:color w:val="auto"/>
              </w:rPr>
              <w:t>Other comprehensive income</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income for the year</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Balance, December 31, 2020</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40,000,000</w:t>
            </w:r>
          </w:p>
        </w:tc>
        <w:tc>
          <w:tcPr>
            <w:tcW w:w="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17,699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17,242</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comprehensive loss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227"/>
        </w:trPr>
        <w:tc>
          <w:tcPr>
            <w:tcW w:w="4040" w:type="dxa"/>
            <w:vAlign w:val="bottom"/>
          </w:tcPr>
          <w:p>
            <w:pPr>
              <w:ind w:left="240"/>
              <w:spacing w:after="0"/>
              <w:rPr>
                <w:sz w:val="20"/>
                <w:szCs w:val="20"/>
                <w:color w:val="auto"/>
              </w:rPr>
            </w:pPr>
            <w:r>
              <w:rPr>
                <w:rFonts w:ascii="Arial" w:cs="Arial" w:eastAsia="Arial" w:hAnsi="Arial"/>
                <w:sz w:val="17"/>
                <w:szCs w:val="17"/>
                <w:color w:val="auto"/>
              </w:rPr>
              <w:t>Net loss for the year</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(1,845)</w:t>
            </w:r>
          </w:p>
        </w:tc>
        <w:tc>
          <w:tcPr>
            <w:tcW w:w="0" w:type="dxa"/>
            <w:vAlign w:val="bottom"/>
          </w:tcPr>
          <w:p>
            <w:pPr>
              <w:spacing w:after="0"/>
              <w:rPr>
                <w:sz w:val="1"/>
                <w:szCs w:val="1"/>
                <w:color w:val="auto"/>
              </w:rPr>
            </w:pPr>
          </w:p>
        </w:tc>
      </w:tr>
      <w:tr>
        <w:trPr>
          <w:trHeight w:val="250"/>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40,000,000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15,854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14,370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40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r>
      <w:tr>
        <w:trPr>
          <w:trHeight w:val="211"/>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7"/>
                <w:szCs w:val="17"/>
                <w:color w:val="auto"/>
              </w:rPr>
              <w:t>Net income (loss)</w:t>
            </w:r>
          </w:p>
        </w:tc>
        <w:tc>
          <w:tcPr>
            <w:tcW w:w="920" w:type="dxa"/>
            <w:vAlign w:val="bottom"/>
          </w:tcPr>
          <w:p>
            <w:pPr>
              <w:jc w:val="right"/>
              <w:ind w:right="718"/>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2,550</w:t>
            </w:r>
          </w:p>
        </w:tc>
        <w:tc>
          <w:tcPr>
            <w:tcW w:w="1020" w:type="dxa"/>
            <w:vAlign w:val="bottom"/>
            <w:gridSpan w:val="2"/>
          </w:tcPr>
          <w:p>
            <w:pPr>
              <w:jc w:val="right"/>
              <w:ind w:right="715"/>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(1,845)</w:t>
            </w:r>
          </w:p>
        </w:tc>
      </w:tr>
      <w:tr>
        <w:trPr>
          <w:trHeight w:val="167"/>
        </w:trPr>
        <w:tc>
          <w:tcPr>
            <w:tcW w:w="8140" w:type="dxa"/>
            <w:vAlign w:val="bottom"/>
            <w:shd w:val="clear" w:color="auto" w:fill="CCEEFF"/>
          </w:tcPr>
          <w:p>
            <w:pPr>
              <w:ind w:left="240"/>
              <w:spacing w:after="0" w:line="167" w:lineRule="exact"/>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25"/>
        </w:trPr>
        <w:tc>
          <w:tcPr>
            <w:tcW w:w="81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(excluding assets acquired and liabilities assumed at acquisition):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1,162</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Gain on debt extinguishment</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Provision for doubtful accounts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 in fair value of contingent consideration</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Contract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(1,312)</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and other current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1,512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Accrued expenses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Income tax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207</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Deferred revenue</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Other liabilities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417</w:t>
            </w:r>
          </w:p>
        </w:tc>
      </w:tr>
      <w:tr>
        <w:trPr>
          <w:trHeight w:val="227"/>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Other assets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w:t>
            </w:r>
          </w:p>
        </w:tc>
      </w:tr>
      <w:tr>
        <w:trPr>
          <w:trHeight w:val="228"/>
        </w:trPr>
        <w:tc>
          <w:tcPr>
            <w:tcW w:w="8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Net cash provided by (used in) operating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5,777</w:t>
            </w:r>
          </w:p>
        </w:tc>
        <w:tc>
          <w:tcPr>
            <w:tcW w:w="100" w:type="dxa"/>
            <w:vAlign w:val="bottom"/>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(2,636)</w:t>
            </w:r>
          </w:p>
        </w:tc>
      </w:tr>
      <w:tr>
        <w:trPr>
          <w:trHeight w:val="207"/>
        </w:trPr>
        <w:tc>
          <w:tcPr>
            <w:tcW w:w="81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Acquisitions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Purchases of property and equipment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Proceeds from related party loan receivable</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r>
      <w:tr>
        <w:trPr>
          <w:trHeight w:val="223"/>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provided by (used in) investing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Proceeds from long-term debt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2,351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Contingent consideration</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r>
      <w:tr>
        <w:trPr>
          <w:trHeight w:val="225"/>
        </w:trPr>
        <w:tc>
          <w:tcPr>
            <w:tcW w:w="8140" w:type="dxa"/>
            <w:vAlign w:val="bottom"/>
          </w:tcPr>
          <w:p>
            <w:pPr>
              <w:ind w:left="240"/>
              <w:spacing w:after="0"/>
              <w:rPr>
                <w:sz w:val="20"/>
                <w:szCs w:val="20"/>
                <w:color w:val="auto"/>
              </w:rPr>
            </w:pPr>
            <w:r>
              <w:rPr>
                <w:rFonts w:ascii="Arial" w:cs="Arial" w:eastAsia="Arial" w:hAnsi="Arial"/>
                <w:sz w:val="17"/>
                <w:szCs w:val="17"/>
                <w:color w:val="auto"/>
              </w:rPr>
              <w:t>Proceeds (payments) from related party loan payable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r>
      <w:tr>
        <w:trPr>
          <w:trHeight w:val="228"/>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provided by (used in) financing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2,328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fluctuations on cash</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(674)</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color w:val="auto"/>
              </w:rPr>
              <w:t>Net increase (decrease) in cash</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6,878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(3,016)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beginning of year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2,842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9,720</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color w:val="auto"/>
              </w:rPr>
              <w:t>Cash, end of year</w:t>
            </w:r>
          </w:p>
        </w:tc>
        <w:tc>
          <w:tcPr>
            <w:tcW w:w="920" w:type="dxa"/>
            <w:vAlign w:val="bottom"/>
            <w:tcBorders>
              <w:bottom w:val="single" w:sz="8" w:color="auto"/>
            </w:tcBorders>
          </w:tcPr>
          <w:p>
            <w:pPr>
              <w:jc w:val="right"/>
              <w:ind w:right="718"/>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9,720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6,704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Income taxes paid</w:t>
            </w:r>
          </w:p>
        </w:tc>
        <w:tc>
          <w:tcPr>
            <w:tcW w:w="920" w:type="dxa"/>
            <w:vAlign w:val="bottom"/>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61</w:t>
            </w:r>
          </w:p>
        </w:tc>
        <w:tc>
          <w:tcPr>
            <w:tcW w:w="1020" w:type="dxa"/>
            <w:vAlign w:val="bottom"/>
            <w:gridSpan w:val="2"/>
          </w:tcPr>
          <w:p>
            <w:pPr>
              <w:jc w:val="right"/>
              <w:ind w:right="7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paid</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20" w:type="dxa"/>
            <w:vAlign w:val="bottom"/>
            <w:gridSpan w:val="2"/>
            <w:shd w:val="clear" w:color="auto" w:fill="CCEEFF"/>
          </w:tcPr>
          <w:p>
            <w:pPr>
              <w:jc w:val="right"/>
              <w:ind w:right="7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Property and equipment acquired but not paid</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20" w:type="dxa"/>
            <w:vAlign w:val="bottom"/>
            <w:gridSpan w:val="2"/>
            <w:shd w:val="clear" w:color="auto" w:fill="CCEEFF"/>
          </w:tcPr>
          <w:p>
            <w:pPr>
              <w:jc w:val="right"/>
              <w:ind w:right="7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Related party loan payable net settled in exchange for related party loan receivable</w:t>
            </w:r>
          </w:p>
        </w:tc>
        <w:tc>
          <w:tcPr>
            <w:tcW w:w="920" w:type="dxa"/>
            <w:vAlign w:val="bottom"/>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715"/>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1,070</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Contingent and deferred consideration for business acquisition during the year</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71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r>
      <w:tr>
        <w:trPr>
          <w:trHeight w:val="95"/>
        </w:trPr>
        <w:tc>
          <w:tcPr>
            <w:tcW w:w="8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2020 and 2021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Silvaco Group, Inc. (“Silvaco,” and together with its subsidiaries, the “Company”)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the multi-discipline problem-solving needs of the Company's customers, a single license of software may require components from multiple product lines and include combined technologies. The Company also has a multi-year product and integration strategy that often results in new, combined products or changes to historical product offerings. As they are similar in the nature of services, production process, and distribution of services, the Company's solution offerings have been aggregated into one reportable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and include the accounts of Silvaco and all of the Company's wholly-owned 17 subsidiaries, which consist of one domestic and 16 international subsidiaries with operations in North America, Europe, Asia and South America. All intercompany transactions and balances have been eliminated upon consolidation.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Outbreak</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is continuing to monitor the impact of COVID-19 on all aspects of its business. The COVID-19 pandemic has caused and may continue to cause travel bans or disruptions, and in some cases, prohibition of non-essential activities, disruption and shutdown of businesses and greater uncertainty in global financial markets. The impact of COVID-19 is fluid and uncertain, but it has caused and may continue to cause various negative effects, including an inability to meet with actual or potential customers, customers deciding to delay or abandon their planned purchases or failing to make payments, and delays or disruptions in supply chains. As a result, the Company’s ability to close transactions with new and existing customers may be negatively impacted, the Company’s demand generation activities, and the efficiency and effect of those activities, may be negatively affected, and it has been and, until the COVID-19 pandemic is contained, will continue to, be more difficult for the Company to forecast its operating results. These uncertainties have, and may continue to, put pressure on global economic conditions. Overall research and development spending has and may continue to cause the Company’s customers to modify spending priorities or delay or abandon purchasing decisions, thereby lengthening bookings cycles for the Company’s software solutions and making it difficult to forecast bookings and operating results and make decisions about future investments, any of which could materially harm the Company’s business, operating results and financial condition.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Silvaco’s management team is focused on addressing the impacts of COVID-19 on the Company’s business, which has required and will continue to require, a large investment of their time and resources and may distract Silvaco’s management team or disrupt the Company’s operating plans. The extent to which COVID-19 ultimately impacts the Company’s results of operations, cash flow and financial position will depend on future developments, which are uncertain and cannot be predicted, including but not limited to, the duration and spread of the pandemic, its severity, the actions taken by governments and authorities to contain the virus or treat its impact, and how quickly and to what extent normal economic and operating conditions can resume.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 (“PPP Loan”)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accounted for its PPP Loan as debt pursuant to Financial Accounting Standards Board (“FASB”) Accounting Standards Codification ("ASC") 470, Debt. As of December 31, 2020, the outstanding balance was reflected as a note payable on the consolidated balance sheet, the proceeds were reflected under financing activities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consolidated statement of cash flows and interest expense was accrued and recognized in the consolidated statements of income (loss). The forgiveness of the PPP Loan amount during 2021 is reflected as a gain on debt extinguishment in the consolidated statements of income (loss) and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significant estimates include those related to revenue recognition, accounts receivable allowances, share-based payment compensation, valuation of goodwill and other intangible assets, uncertain tax positions and income taxes.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The Company's revenue is derived principally from software licensing and related maintenance and service. Silvaco enters into agreements that include combinations of software solutions and maintenance and services which are accounted for as separate performance obligations with differing revenue recognition patterns. The Company recognizes revenue pursuant to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core principle of this guidance is that an entity should recognize revenue to depict the delivery of software to customers in an amount that reflects the consideration to which the entity expects to be entitled in exchange for such software or services. To achieve this objective the Company applies a five-step approach: (1) identify the contract(s) with a customer, (2) identify the performance obligations within the contract, (3) determine the transaction price, (4) allocate the transaction price to the separate performance obligations and (5) recognize revenue when, or as, each performance obligation is satisfied.</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from software licenses is classified as software license revenue. Software license revenue is recognized upfront upon delivery of the licensed software. Typically, the Company's software solutions are licensed with post-contract support ("PCS"), which includes unspecified technical enhancements and customer support. The PCS is classified as maintenance and service revenue and is recognized ratably over the term of the contract, as the Company satisfies the PCS performance obligation over time.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also offers standard SIP licenses, developed both in house and in partnership with industry-recognized companies. The Company’s SIP licenses provide customers with access to SoC design intellectual property (“IP”) which meet established industry standards, thus saving customers the time and resources required to re-invent similar design methodology. Off the shelf SIP licenses offered by the Company are generally ready to use upon delivery. No modification is required in order for the customer to obtain value for use in their integrated circuit designs. Silvaco does not license SIP without support.</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associated with the license of the Company’s SIP is classified as software license revenue and recognized as revenue upon delivery of the licensed SIP. The PCS is classified as maintenance and service revenue and is recognized ratably over the term of the contract, as we satisfy the PCS performance obligation over time.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Company's SIP, which is developed in partnership with third parties, Silvaco has entered into various renewable license agreements under which the Company has the right to sell the technology it licenses from third parties. When the Company licenses these particular SIP to a customer, the Company generally acts as a principal to the transaction because it controls the promised SIP that is delivered to the customer. Consistent with its role as the principal, the Company recognizes SIP revenue on a gross basis.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Under certain SIP license agreements, the Company also derives revenue through royalties from customers who agree to pay usage-based fees to embed the Company's licensed software into their own software offerings.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recognized an immaterial portion of its revenue from device characterization and modeling services for the years ended December 31, 2020 and 2021. Revenue is recognized upon the completion of the requested services and, as applicable, satisfaction of customer acceptance terms. Revenue from these services is classified as maintenance and service revenue.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days. Invoicing may vary from timing of revenue recognition. When timing of invoicing or collections precedes revenue recognition, the Company records deferred revenue. When timing of revenue recognition precedes invoicing or collections, the Company records a contract asset. In instances where the timing of revenue recognition differs from the timing of invoicing, the Company has determined its contracts generally do not include a significant financing component.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Non-income related taxes collected from customers and remitted to governmental authorities are recorded on the consolidated balance sheets as accounts receivable and accrued expenses. The collection and payment of these amounts are reported on a net basis in the consolidated statements of income (loss).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Silvaco does not offer a right of return. The Company warrants to its customers that its software will perform substantially as specified in its current user manuals. Silvaco has not experienced significant claims related to software warranties beyond the scope of maintenance support, which the Company is already obligated to provide. The warranty is not sold, and cannot be purchased, separately. The warranty does not provide any type of additional service to the customer or performance obligation for Silvaco.</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agreements with customers generally require Silvaco to indemnify the customer against claims that the Company's software infringes third-party patent, copyright, trademark or other proprietary rights. Such indemnification obligations are generally limited in a variety of industry-standard respects, including by affirming Silvaco's right to replace an infringing product.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Judgments</w:t>
      </w:r>
    </w:p>
    <w:p>
      <w:pPr>
        <w:spacing w:after="0" w:line="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Silvaco's contracts typically include promises to transfer licenses, which enables customers to use the Company's software, and services. Judgment is required to determine if the promises are separate performance obligations, and if so, to allocate the transaction price to each performance obligation. The Company uses the estimated standalone selling price method to allocate the transaction price for each performance obligation. The estimated standalone selling price is determined using all information reasonably available to the Company, including market conditions and other observable inputs, historical pricing and the value relationship between Silvaco's various product and service offerings. The corresponding revenues are recognized as the related performance obligations are satisfied.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timing of revenue recognition may differ from the timing of invoicing to customers, and these timing differences result in receivables (billed), contract assets (unbilled), or contract liabilities (deferred revenue) on the Company’s consolidated balance sheets. The Company records a contract asset when revenue is recognized prior to the right to invoice, or deferred revenue when revenue is recognized subsequent to invoicing. For time-based software agreements, customers are generally invoiced in equal, quarterly amounts, although some customers are invoiced in single or annual amounts. The Company records an unbilled receivable when revenue is recognized and it has an unconditional right to invoice and receive payment.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Silvaco is required to adjust promised amounts of consideration for the effects of the time value of money if the timing of the payments provides the customer or the Company with a significant financing benefit. Silvaco considers various factors in assessing whether a financing component exists, including the duration of the contract, market interest rates and the timing of payments. The Company's contracts do not include a significant financing component requiring adjustment to the transaction price.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Commissions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Sales commissions associated with multi-year contracts for new term-based licenses are deferred, capitalized and amortized over an estimated customer life of five years. Capitalized sales commissions are included in prepaid and other current assets and other assets on the Company's consolidated balance sheets. Amortization of sales commissions is included in selling and marketing expenses on the Company's consolidated statements of income (loss). The Company applies a practical expedient to expense sales commissions as incurred when the amortization period would have been one year or less. During the 12 months ended December 31, 2020 and 2021, the Company capitalized sales commissions of $1.9 million and $0.7 million, respectively. Amortization of sales commissions during the 12 months ended December 31, 2020 and 2021 was $0.6 million and $0.9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consists of cash held in checking and savings accounts.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3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Property and equipment are stated at cost, net of accumulated depreciation. Depreciation is computed using the straight-line method over the estimated useful lives of the various classes of assets,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7"/>
                <w:szCs w:val="17"/>
                <w:color w:val="auto"/>
              </w:rPr>
              <w:t>Leasehold improvements</w:t>
            </w:r>
          </w:p>
        </w:tc>
        <w:tc>
          <w:tcPr>
            <w:tcW w:w="7540" w:type="dxa"/>
            <w:vAlign w:val="bottom"/>
            <w:tcBorders>
              <w:top w:val="single" w:sz="8" w:color="auto"/>
            </w:tcBorders>
            <w:shd w:val="clear" w:color="auto" w:fill="CCEEFF"/>
          </w:tcPr>
          <w:p>
            <w:pPr>
              <w:ind w:left="1040"/>
              <w:spacing w:after="0" w:line="182" w:lineRule="exact"/>
              <w:rPr>
                <w:sz w:val="20"/>
                <w:szCs w:val="20"/>
                <w:color w:val="auto"/>
              </w:rPr>
            </w:pPr>
            <w:r>
              <w:rPr>
                <w:rFonts w:ascii="Arial" w:cs="Arial" w:eastAsia="Arial" w:hAnsi="Arial"/>
                <w:sz w:val="17"/>
                <w:szCs w:val="17"/>
                <w:i w:val="1"/>
                <w:iCs w:val="1"/>
                <w:color w:val="auto"/>
              </w:rPr>
              <w:t>Shorter of remaining life of lease, including option to renew that is expected to be</w:t>
            </w:r>
          </w:p>
        </w:tc>
      </w:tr>
      <w:tr>
        <w:trPr>
          <w:trHeight w:val="223"/>
        </w:trPr>
        <w:tc>
          <w:tcPr>
            <w:tcW w:w="3700" w:type="dxa"/>
            <w:vAlign w:val="bottom"/>
            <w:shd w:val="clear" w:color="auto" w:fill="CCEEFF"/>
          </w:tcPr>
          <w:p>
            <w:pPr>
              <w:spacing w:after="0"/>
              <w:rPr>
                <w:sz w:val="19"/>
                <w:szCs w:val="19"/>
                <w:color w:val="auto"/>
              </w:rPr>
            </w:pPr>
          </w:p>
        </w:tc>
        <w:tc>
          <w:tcPr>
            <w:tcW w:w="7540" w:type="dxa"/>
            <w:vAlign w:val="bottom"/>
            <w:shd w:val="clear" w:color="auto" w:fill="CCEEFF"/>
          </w:tcPr>
          <w:p>
            <w:pPr>
              <w:ind w:left="1040"/>
              <w:spacing w:after="0"/>
              <w:rPr>
                <w:sz w:val="20"/>
                <w:szCs w:val="20"/>
                <w:color w:val="auto"/>
              </w:rPr>
            </w:pPr>
            <w:r>
              <w:rPr>
                <w:rFonts w:ascii="Arial" w:cs="Arial" w:eastAsia="Arial" w:hAnsi="Arial"/>
                <w:sz w:val="17"/>
                <w:szCs w:val="17"/>
                <w:i w:val="1"/>
                <w:iCs w:val="1"/>
                <w:color w:val="auto"/>
              </w:rPr>
              <w:t>exercised, or useful life of improvement.</w:t>
            </w:r>
          </w:p>
        </w:tc>
      </w:tr>
      <w:tr>
        <w:trPr>
          <w:trHeight w:val="227"/>
        </w:trPr>
        <w:tc>
          <w:tcPr>
            <w:tcW w:w="3700" w:type="dxa"/>
            <w:vAlign w:val="bottom"/>
          </w:tcPr>
          <w:p>
            <w:pPr>
              <w:ind w:left="20"/>
              <w:spacing w:after="0"/>
              <w:rPr>
                <w:sz w:val="20"/>
                <w:szCs w:val="20"/>
                <w:color w:val="auto"/>
              </w:rPr>
            </w:pPr>
            <w:r>
              <w:rPr>
                <w:rFonts w:ascii="Arial" w:cs="Arial" w:eastAsia="Arial" w:hAnsi="Arial"/>
                <w:sz w:val="17"/>
                <w:szCs w:val="17"/>
                <w:color w:val="auto"/>
              </w:rPr>
              <w:t>Computers and software</w:t>
            </w:r>
          </w:p>
        </w:tc>
        <w:tc>
          <w:tcPr>
            <w:tcW w:w="7540" w:type="dxa"/>
            <w:vAlign w:val="bottom"/>
          </w:tcPr>
          <w:p>
            <w:pPr>
              <w:ind w:left="1040"/>
              <w:spacing w:after="0"/>
              <w:rPr>
                <w:sz w:val="20"/>
                <w:szCs w:val="20"/>
                <w:color w:val="auto"/>
              </w:rPr>
            </w:pPr>
            <w:r>
              <w:rPr>
                <w:rFonts w:ascii="Arial" w:cs="Arial" w:eastAsia="Arial" w:hAnsi="Arial"/>
                <w:sz w:val="17"/>
                <w:szCs w:val="17"/>
                <w:i w:val="1"/>
                <w:iCs w:val="1"/>
                <w:color w:val="auto"/>
              </w:rPr>
              <w:t>5 years</w:t>
            </w:r>
          </w:p>
        </w:tc>
      </w:tr>
      <w:tr>
        <w:trPr>
          <w:trHeight w:val="232"/>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Servers and networking equipment</w:t>
            </w:r>
          </w:p>
        </w:tc>
        <w:tc>
          <w:tcPr>
            <w:tcW w:w="7540" w:type="dxa"/>
            <w:vAlign w:val="bottom"/>
            <w:shd w:val="clear" w:color="auto" w:fill="CCEEFF"/>
          </w:tcPr>
          <w:p>
            <w:pPr>
              <w:ind w:left="1040"/>
              <w:spacing w:after="0"/>
              <w:rPr>
                <w:sz w:val="20"/>
                <w:szCs w:val="20"/>
                <w:color w:val="auto"/>
              </w:rPr>
            </w:pPr>
            <w:r>
              <w:rPr>
                <w:rFonts w:ascii="Arial" w:cs="Arial" w:eastAsia="Arial" w:hAnsi="Arial"/>
                <w:sz w:val="17"/>
                <w:szCs w:val="17"/>
                <w:i w:val="1"/>
                <w:iCs w:val="1"/>
                <w:color w:val="auto"/>
              </w:rPr>
              <w:t>4 years</w:t>
            </w:r>
          </w:p>
        </w:tc>
      </w:tr>
      <w:tr>
        <w:trPr>
          <w:trHeight w:val="225"/>
        </w:trPr>
        <w:tc>
          <w:tcPr>
            <w:tcW w:w="3700" w:type="dxa"/>
            <w:vAlign w:val="bottom"/>
          </w:tcPr>
          <w:p>
            <w:pPr>
              <w:ind w:left="20"/>
              <w:spacing w:after="0"/>
              <w:rPr>
                <w:sz w:val="20"/>
                <w:szCs w:val="20"/>
                <w:color w:val="auto"/>
              </w:rPr>
            </w:pPr>
            <w:r>
              <w:rPr>
                <w:rFonts w:ascii="Arial" w:cs="Arial" w:eastAsia="Arial" w:hAnsi="Arial"/>
                <w:sz w:val="17"/>
                <w:szCs w:val="17"/>
                <w:color w:val="auto"/>
              </w:rPr>
              <w:t>Vehicles</w:t>
            </w:r>
          </w:p>
        </w:tc>
        <w:tc>
          <w:tcPr>
            <w:tcW w:w="7540" w:type="dxa"/>
            <w:vAlign w:val="bottom"/>
          </w:tcPr>
          <w:p>
            <w:pPr>
              <w:ind w:left="1040"/>
              <w:spacing w:after="0"/>
              <w:rPr>
                <w:sz w:val="20"/>
                <w:szCs w:val="20"/>
                <w:color w:val="auto"/>
              </w:rPr>
            </w:pPr>
            <w:r>
              <w:rPr>
                <w:rFonts w:ascii="Arial" w:cs="Arial" w:eastAsia="Arial" w:hAnsi="Arial"/>
                <w:sz w:val="17"/>
                <w:szCs w:val="17"/>
                <w:i w:val="1"/>
                <w:iCs w:val="1"/>
                <w:color w:val="auto"/>
              </w:rPr>
              <w:t>5 years</w:t>
            </w:r>
          </w:p>
        </w:tc>
      </w:tr>
      <w:tr>
        <w:trPr>
          <w:trHeight w:val="99"/>
        </w:trPr>
        <w:tc>
          <w:tcPr>
            <w:tcW w:w="3700" w:type="dxa"/>
            <w:vAlign w:val="bottom"/>
            <w:tcBorders>
              <w:bottom w:val="single" w:sz="8" w:color="auto"/>
            </w:tcBorders>
          </w:tcPr>
          <w:p>
            <w:pPr>
              <w:spacing w:after="0"/>
              <w:rPr>
                <w:sz w:val="8"/>
                <w:szCs w:val="8"/>
                <w:color w:val="auto"/>
              </w:rPr>
            </w:pPr>
          </w:p>
        </w:tc>
        <w:tc>
          <w:tcPr>
            <w:tcW w:w="754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Repairs and maintenance are charged to expense as incurred. Gains or losses from the sale or retirement of property and equipment are included in income from continuing operations before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continually monitors events and changes in circumstances that could indicate the carrying amounts of long-lived assets, including property and equipment, may not be recoverable. Accordingly, when indicators of impairment are present, the Company evaluates the carrying value of such assets in relation to the future undiscounted cash flows of the underlying assets. The Company's policy is to record an impairment loss when it is determined that the carrying amount of the asset may not be recoverable. No impairment charge was recorded for the years ended December 31, 2020 and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Research and development costs consist primarily of personnel costs for product development, engineering, quality assessment and other related costs associated with the development of new products, enhancements to existing products, quality assurance and testing. Research and development costs are expensed as incurred. Internally developed software costs required to be capitalized as defined by ASC 350-40, Internal-Use Software are not material to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When a business combination is consummated, the assets acquired and the liabilities assumed are recognized separately from goodwill at their acquisition date fair values. Goodwill as of the acquisition date is measured as the excess of the fair value of consideration transferred over the acquisition date fair value of the net identifiable assets acquired. While best estimates and assumptions are used to accurately value assets acquired and liabilities assumed at the acquisition date as well as contingent consideration, where applicable, Silvaco's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as new information is obtained about facts and circumstances that existed as of the acquisition date that, if known, would have affected the measurement of the amounts recognized as of that date. Upon the earlier of the conclusion of the measurement period or final determination of the values of assets acquired or liabilities assumed, any subsequent adjustments are recorded in the consolidated statements of income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Goodwill represents the excess of the fair value of consideration transferred over the fair value of net identifiable assets acquired. Other intangible assets consist of customer relationships, developed technology and noncompete agreements which are amortized over their useful lives, which range from two to six years. Intangible assets are reviewed for impairment whenever events or changes in circumstances indicate an asset’s carrying value may not be recoverable.</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Goodwill and intangible assets with indefinite useful lives are not amortized but are tested annually for impairment and more often if there is an indicator of impairment.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performs testing for impairment of goodwill on an annual basis, or as events occur or circumstances change that would more likely than not reduce the fair value of the Company’s single reporting unit below its carrying amount. Goodwill is considered impaired if the carrying value of the reporting unit exceeds its fair value.</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Intangible assets are reviewed for impairment whenever events or changes in circumstances indicate an asset’s carrying value may not be recoverable.</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No indicators of impairment or impairments charges were identified or recorded to goodwill or intangible assets during the years ended December 31, 2020 and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2021, one customer represented 18% of the Company’s accounts receivable.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to the concentration of credit risk with respect to trade receivables, the Company's cash on deposit with financial institutions is also exposed to concentration risk. The Company's cash on deposit with financial institutions are insured through various public and private bank deposit insurance programs, foreign and domestic; however, a significant portion of cash balances held as of December 31, 2021 exceed insured limits.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makes judgments as to its ability to collect outstanding receivables and provides allowances for a portion of receivables when collection becomes doubtful. Provisions are made based upon a specific review of all significant outstanding invoices from both value and delinquency perspectives. For those invoices not specifically reviewed, provisions are estimated at differing rates based upon the age of the receivable. In determining these percentages, the Company considers its historical collection experience and current economic trends in the customer's industry and geographic region. Silvaco's allowance for doubtful accounts was $0.2 million and $0.3 million as of December 31, 2020 and 2021, respectively. For the years ended December 31, 2020 and 2021, the Company's provision for bad debt expense was $24.9 thousand and $195.0 thousand,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of the enactment date.</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records net deferred tax assets to the extent it believes these assets will more likely than not be realized. In making such determinations, the Company considers all available positive and negative evidence, including scheduled reversals of deferred tax liabilities, projected future taxable income, tax planning strategies and recent financial operations. In the event the Company determines that Silvaco will be able to realize deferred tax assets for which a valuation allowance was used to reduce their carrying value, the adjustment to the valuation allowance will be recorded as a reduction to the provision for income taxes.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Tax benefits related to uncertain tax positions taken or expected to be taken on a tax return are recorded when such benefits meet a more-likely-than-not threshold. Otherwise, these tax benefits are recorded when a tax position has been effectively settled, which means that the statute of limitations has expired, or the appropriate taxing authority has completed its examination even though the statute of limitations remains open.</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recognizes interest and penalties related to income taxes within the income tax expense line in the consolidated statements of income (loss). Accrued interest and penalties are included within accrued income taxes in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occurred. For the years ended December 31, 2020 and 2021, the Company recorded foreign currency translation adjustments of $1.1 million and $(1.0) million, respectively, within accumulated other comprehensive income (loss).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The Company recorded a net foreign exchange loss of $0.6 million and a net foreign exchange gain of $0.1 million for the years ended December 31, 2020 and 2021,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loss is composed entirely of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accounts for share-based payments in accordance with the authoritative guidance issued by the FASB on share-based compensation, which establishes the accounting for transactions in which an entity exchanges its equity instruments for goods or services. Under the provisions of the authoritative guidance, share-based compensation expense is measured at the grant date, based on the fair value of the award, and is recognized as an expense over the requisite employee service period (generally the vesting period), net of actual forfeitures. For share-based payment awards that contain performance criteria, share-based compensation expense is recorded when the achievement of the performance condition is considered probable of achievement and is recorded on a straight-line basis over the requisite service period. If such performance criteria are not met, no compensation expense is recognized and any recognized compensation expense is reversed.</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Historically, the Company has not recorded share-based compensation expense, as restricted stock units (“RSUs”) granted under the Company's 2014 Stock Incentive Plan (the "2014 Plan") carry a “double-trigger” requirement which includes a “Liquidity Event,” which is not deemed probable as of December 31, 2020 and 2021, until such qualifying Liquidity Event is consummated. See </w:t>
      </w:r>
      <w:r>
        <w:rPr>
          <w:rFonts w:ascii="Arial" w:cs="Arial" w:eastAsia="Arial" w:hAnsi="Arial"/>
          <w:sz w:val="17"/>
          <w:szCs w:val="17"/>
          <w:u w:val="single" w:color="auto"/>
          <w:color w:val="0000FF"/>
        </w:rPr>
        <w:t>Note 11</w:t>
      </w:r>
      <w:r>
        <w:rPr>
          <w:rFonts w:ascii="Arial" w:cs="Arial" w:eastAsia="Arial" w:hAnsi="Arial"/>
          <w:sz w:val="17"/>
          <w:szCs w:val="17"/>
          <w:color w:val="auto"/>
        </w:rPr>
        <w:t>, Restricted Stock Units for additional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defines fair value as the price that would be received to sell an asset or paid to transfer a liability in an orderly transaction between market participants at the measurement date.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41" w:lineRule="exact"/>
        <w:rPr>
          <w:sz w:val="20"/>
          <w:szCs w:val="20"/>
          <w:color w:val="auto"/>
        </w:rPr>
      </w:pPr>
    </w:p>
    <w:p>
      <w:pPr>
        <w:ind w:left="660" w:right="20" w:hanging="328"/>
        <w:spacing w:after="0" w:line="273" w:lineRule="auto"/>
        <w:tabs>
          <w:tab w:leader="none" w:pos="682"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1 Inputs: Unadjusted quoted prices in active markets for identical assets or liabilities accessible to the reporting entity at the measurement date.</w:t>
      </w:r>
    </w:p>
    <w:p>
      <w:pPr>
        <w:ind w:left="660" w:hanging="328"/>
        <w:spacing w:after="0" w:line="273" w:lineRule="auto"/>
        <w:tabs>
          <w:tab w:leader="none" w:pos="6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2 Inputs: Other than quoted prices included in Level 1 inputs that are observable for the asset or liability, either directly (i.e., as prices) or indirectly (i.e. derived from prices), for substantially the full term of the asset or liability.</w:t>
      </w:r>
    </w:p>
    <w:p>
      <w:pPr>
        <w:ind w:left="660" w:hanging="328"/>
        <w:spacing w:after="0" w:line="284" w:lineRule="auto"/>
        <w:tabs>
          <w:tab w:leader="none" w:pos="6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As of December 31, 2020 and 2021, the carrying amount of the Company’s cash, accounts receivable, accounts payable and accrued expenses approximated their fair values due to their short maturities. See </w:t>
      </w:r>
      <w:r>
        <w:rPr>
          <w:rFonts w:ascii="Arial" w:cs="Arial" w:eastAsia="Arial" w:hAnsi="Arial"/>
          <w:sz w:val="17"/>
          <w:szCs w:val="17"/>
          <w:u w:val="single" w:color="auto"/>
          <w:color w:val="0000FF"/>
        </w:rPr>
        <w:t>Note 16</w:t>
      </w:r>
      <w:r>
        <w:rPr>
          <w:rFonts w:ascii="Arial" w:cs="Arial" w:eastAsia="Arial" w:hAnsi="Arial"/>
          <w:sz w:val="17"/>
          <w:szCs w:val="17"/>
          <w:color w:val="auto"/>
        </w:rPr>
        <w:t>, Fair Value of Financial Instruments for additional information. The Company's note payable is carried at net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Credits</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Silvaco is a recipient of research and development ("R&amp;D") tax credits associated with the Company's French subsidiary. Pursuant to French law, the tax credit is determined on the basis of the eligible R&amp;D expenses incurred during the calendar year. Eligible expenditures include tax deductible depreciation expenses relating to fixed assets, created or acquired newly, assigned to eligible R&amp;D projects, including patents acquired; costs relating to staff qualifying as scientists or engineers; expenses resulting from outsourced R&amp;D projects; expenses incurred for patent registration or in connection with the defense of patents; and expenses relating to the monitoring of technical developments. The tax credits, which are recorded as a reduction of R&amp;D expense, can be offset against corporate income tax liabilities payable with respect to the calendar year during which the eligible R&amp;D expenditures were incurred. Any excess credit can be carried forward and offset against the tax liability of the taxpayer during the next three years. Credits unused after three years will be refunded to the taxpayer. Research and development tax credits are included in prepaid expenses and other current assets in the Company's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Advertising costs are expensed as incurred and were $26.9 thousand and $17.4 thousand for the years ended December 31, 2020 and 2021,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 (EPS)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Basic EPS is computed based on the weighted average number of shares of common stock outstanding. Diluted EPS is computed based on the weighted average number of common shares outstanding increased by dilutive common stock equivalents, attributable to RSU grants.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 xml:space="preserve">The following potentially dilutive outstanding securities for the years ended December 31, 2020 and 2021 were excluded from the computation of diluted net income (loss) per share because the issuance of such shares is contingent upon the satisfaction of certain conditions which were not satisfied. See </w:t>
      </w:r>
      <w:r>
        <w:rPr>
          <w:rFonts w:ascii="Arial" w:cs="Arial" w:eastAsia="Arial" w:hAnsi="Arial"/>
          <w:sz w:val="17"/>
          <w:szCs w:val="17"/>
          <w:u w:val="single" w:color="auto"/>
          <w:color w:val="0000FF"/>
        </w:rPr>
        <w:t>Note 11</w:t>
      </w:r>
      <w:r>
        <w:rPr>
          <w:rFonts w:ascii="Arial" w:cs="Arial" w:eastAsia="Arial" w:hAnsi="Arial"/>
          <w:sz w:val="17"/>
          <w:szCs w:val="17"/>
          <w:color w:val="auto"/>
        </w:rPr>
        <w:t>, Restricted Stock Units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RSU Grants</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3,254,729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4,276,919</w:t>
            </w:r>
          </w:p>
        </w:tc>
      </w:tr>
      <w:tr>
        <w:trPr>
          <w:trHeight w:val="95"/>
        </w:trPr>
        <w:tc>
          <w:tcPr>
            <w:tcW w:w="8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Subsequent events are events or transactions that occur after the balance sheet date but before consolidated financial statements are issued or are available to be issued. The Company recognizes in the consolidated financial statements the effects of all subsequent events that provide additional evidence about conditions that existed at the date of the balance sheet, including the estimates inherent in the process of preparing the consolidated financial statements. The Company’s consolidated financial statements do not recognize subsequent events that provide evidence about conditions that did not exist at the date of the balance sheet but arose after the balance sheet date and before consolidated financial statements are available to be issued.</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has evaluated subsequent events through September 23, 2022, which is the date the consolidated financial statements were available to be issued.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 December 2019, the FASB issued Accounting Standards Update (“ASU”) 2019-12, Income Taxes (Topic 740): Simplifying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for Income Taxes,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ASU 2019-12 is effective for fiscal years, and interim periods within those fiscal years, beginning after December 15, 2020. The Company adopted this standard as of January 1, 2021, with no material impact on the Company's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Issued and Not Yet Adopted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Financial Instruments - Credit Losses</w:t>
      </w:r>
      <w:r>
        <w:rPr>
          <w:rFonts w:ascii="Arial" w:cs="Arial" w:eastAsia="Arial" w:hAnsi="Arial"/>
          <w:sz w:val="17"/>
          <w:szCs w:val="17"/>
          <w:color w:val="auto"/>
        </w:rPr>
        <w:t>: In June 2016, the FASB issued ASU 2016-13, Financial Instruments - Credit Losses (Topic 326):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Measurement of Credit Losses on Financial Instruments, which provides guidance regarding the measurement of credit losses on financial instruments. The guidance replaces the incurred loss impairment methodology in the current guidance with a methodology that reflects expected credit losses and requires consideration of a broader range of reasonable and supportable information to determine credit loss estimates. This ASU will be effective for the Company for fiscal periods commencing after December 15, 2022. The Company is in the process of assessing the impact of this ASU on its consolidated financial statements.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 In February 2016, the FASB issued ASU 2016-02, Leases (Topic 842). The amendments supersede current lease requirements in Topic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840 which require lessees to recognize most leases on their balance sheets as lease liabilities with corresponding right-of-use assets. The objective of Topic 842 is to establish the principles that lessees and lessors shall apply to report useful information to users of financial statements about the amount, timing, and uncertainty of cash flows arising from a lease.</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FASB subsequently issued ASU 2018-10, ASU 2018-11, ASU 2019-01, ASU 2019-10, ASU 2020-05, and ASU 2021-05, which clarified the implementation guidance and effective date of Topic 842. The standard is effective for the Company beginning in fiscal year 2022 and early adoption is permitted. The Company is currently evaluating the impact on its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Revenue related to stand-alone software applications are generally recognized upon shipment and delivery of license keys. For certain arrangements revenue is recognized based on usage or ratably over the term of the arrangement. Maintenance and service revenue consists of both maintenance revenues and professional services revenues which is recognized based on usage or ratably over the term of the arrangement. Timing of revenue recognition may differ from the timing of invoicing to customers. The Company records a contract asset when revenue is recognized prior to invoicing, an accounts receivable on invoicing or deferred revenue when invoicing precedes revenue recognition.</w:t>
      </w: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2020 and 2021, accounts receivable, net of allowance for doubtful accounts, was $7.1 million and $4.5 million, respectively. The Company's allowance for doubtful accounts on accounts receivable was $0.2 million and $0.3 million as of December 31, 2020 and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2021, contract assets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193"/>
        </w:trPr>
        <w:tc>
          <w:tcPr>
            <w:tcW w:w="8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ind w:right="15"/>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portion of contract assets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6,977</w:t>
            </w:r>
          </w:p>
        </w:tc>
      </w:tr>
      <w:tr>
        <w:trPr>
          <w:trHeight w:val="22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portion of contract assets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2,465</w:t>
            </w: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contract assets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9,442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does not maintain an allowance for doubtful accounts for estimated losses with respect to its contract asset portfolio as there is not any historical evidence or current indicators of impairments or write-offs on contract assets. The Company does not have any off-balance-sheet credit exposure related to its customers, and there have not been any write-offs against the Company’s contract asset portfolio for the periods presented.</w:t>
      </w:r>
    </w:p>
    <w:p>
      <w:pPr>
        <w:spacing w:after="0" w:line="3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allowances for doubtful accounts reflect the Company’s best estimates of probable losses inherent in the accounts receivable and contract assets’ balances. The Company determines the allowances based on known troubled accounts, historical experience, and other currently available evidence.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2021, approximately $21.2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53% of these remaining performance obligations over the next 12 months, with the balance recognized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Deferred revenue is comprised mainly of unearned revenue related to maintenance and service on software licenses and pending software license deliveries. Maintenance and technical support revenue is recognized ratably over the coverage period. Software license revenue is recognized upfront upon delivery of the licensed software. Deferred revenue also includes contracts for professional services to be performed in the future which are recognized as revenue when the Company delivers the related service pursuant to the terms of the customer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deferred revenue as of December 31, 2020 and 2021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portion of deferred revenue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6,806</w:t>
            </w:r>
          </w:p>
        </w:tc>
        <w:tc>
          <w:tcPr>
            <w:tcW w:w="600" w:type="dxa"/>
            <w:vAlign w:val="bottom"/>
            <w:gridSpan w:val="2"/>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5,415</w:t>
            </w: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portion of deferred revenue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3,541</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deferred revenue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9,719</w:t>
            </w:r>
          </w:p>
        </w:tc>
        <w:tc>
          <w:tcPr>
            <w:tcW w:w="100" w:type="dxa"/>
            <w:vAlign w:val="bottom"/>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8,956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recognized revenue of $5.1 million and $7.5 million that was included in the deferred revenue balance at the beginning of fiscal year 2020 and 2021, respectively. All other activity in deferred revenue is due to the timing of invoices in relation to the timing of revenue during fiscal year 2021 as described above. Approximately 60% of the Company's deferred revenue as of December 31, 2021 is expected to be recognized over the next 12 months with the remainder recognized thereafter.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Coupling Wave Solutions S.A.</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9, 2020, the Company acquired certain assets of Coupling Wave Solutions S.A. (“CWS”) for cash consideration of $42.5 thousand. The Company accounted for the acquisition as an asset purchase. Acquired assets included computer equipment, intellectual property, patents and analysis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Compiler Technology, Memory Titles and Cell Titles Division of Dolphin Design SAS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November 6, 2020, the Company acquired the memory compiler technology, memory titles and standard cell titles division of Dolphin Design SAS (“Dolphin”) for net consideration of $1.2 million consisting of $0.4 million in cash at closing and a closing commitment of $0.8 million to be paid within 12 months of the acquisition. Through December 2021, Silvaco has remitted approximately $0.8 million pursuant to the Company's closing commitment for the acquisition. As of the date the consolidated financial statements were available to be issued, the Company’s final installment under this closing obligation remains outstanding. Silvaco accounted for the acquisition as a business combination. Goodwill resulted from the acquisition as the purchase price exceeded the net fair value of acquired assets and assumed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assets acquired in the Dolphin technology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center"/>
              <w:ind w:right="215"/>
              <w:spacing w:after="0"/>
              <w:rPr>
                <w:sz w:val="20"/>
                <w:szCs w:val="20"/>
                <w:color w:val="auto"/>
              </w:rPr>
            </w:pPr>
            <w:r>
              <w:rPr>
                <w:rFonts w:ascii="Arial" w:cs="Arial" w:eastAsia="Arial" w:hAnsi="Arial"/>
                <w:sz w:val="14"/>
                <w:szCs w:val="14"/>
                <w:b w:val="1"/>
                <w:bCs w:val="1"/>
                <w:color w:val="auto"/>
              </w:rPr>
              <w:t>Weighted Average</w:t>
            </w: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780" w:type="dxa"/>
            <w:vAlign w:val="bottom"/>
            <w:gridSpan w:val="3"/>
          </w:tcPr>
          <w:p>
            <w:pPr>
              <w:jc w:val="center"/>
              <w:ind w:right="215"/>
              <w:spacing w:after="0" w:line="139" w:lineRule="exact"/>
              <w:rPr>
                <w:sz w:val="20"/>
                <w:szCs w:val="20"/>
                <w:color w:val="auto"/>
              </w:rPr>
            </w:pPr>
            <w:r>
              <w:rPr>
                <w:rFonts w:ascii="Arial" w:cs="Arial" w:eastAsia="Arial" w:hAnsi="Arial"/>
                <w:sz w:val="14"/>
                <w:szCs w:val="14"/>
                <w:b w:val="1"/>
                <w:bCs w:val="1"/>
                <w:color w:val="auto"/>
              </w:rPr>
              <w:t>Amortization Period</w:t>
            </w:r>
          </w:p>
        </w:tc>
        <w:tc>
          <w:tcPr>
            <w:tcW w:w="128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8180" w:type="dxa"/>
            <w:vAlign w:val="bottom"/>
            <w:gridSpan w:val="2"/>
            <w:vMerge w:val="continue"/>
          </w:tcPr>
          <w:p>
            <w:pPr>
              <w:spacing w:after="0"/>
              <w:rPr>
                <w:sz w:val="17"/>
                <w:szCs w:val="17"/>
                <w:color w:val="auto"/>
              </w:rPr>
            </w:pPr>
          </w:p>
        </w:tc>
        <w:tc>
          <w:tcPr>
            <w:tcW w:w="178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rPr>
              <w:t>(Years)</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8"/>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17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7"/>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7"/>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Non-compete agreement</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assets acquired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1,180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8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During the year ended December 31, 2020, the Company incurred $16.9 thousand in acquisition-related expenses, recognized as selling, general and administrative expense on the consolidated statements of income.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On August 19, 2021, a European investment firm, Aldini AG (“Aldini”) sued the Company in connection with the Company’s interactions with Dolphin. Aldini’s allegations center around the bankruptcy and reorganization of Dolphin in 2018 and Silvaco’s acquisition of certain memory assets of Dolphin, which Aldini alleges was done in violation of its rights as a shareholder of Dolphin. Aldini further alleges that the Company, along with the other defendants, was involved in a conspiracy to defraud Dolphin shareholders such as Aldini. The Company considers these allegations to be baseless and is vigorously defending itself in this litigation. The Company accordingly has not recorded a charge for this contingency. See </w:t>
      </w:r>
      <w:r>
        <w:rPr>
          <w:rFonts w:ascii="Arial" w:cs="Arial" w:eastAsia="Arial" w:hAnsi="Arial"/>
          <w:sz w:val="17"/>
          <w:szCs w:val="17"/>
          <w:u w:val="single" w:color="auto"/>
          <w:color w:val="0000FF"/>
        </w:rPr>
        <w:t>Note 14</w:t>
      </w:r>
      <w:r>
        <w:rPr>
          <w:rFonts w:ascii="Arial" w:cs="Arial" w:eastAsia="Arial" w:hAnsi="Arial"/>
          <w:sz w:val="17"/>
          <w:szCs w:val="17"/>
          <w:color w:val="auto"/>
        </w:rPr>
        <w:t>, Commitments and Contingencies.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PolytEDA Cloud LLC</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15, 2021 the Company completed the acquisition of physical verification solution and cloud enablement provider PolytEDA Cloud LLC (“PolytEDA”). The acquisition of PolytEDA, a Ukraine-based company, expands Silvaco’s capabilities for rapid physical verification of IC designs prior to mask creation and manufacturing and for cloud enablement of EDA tools.</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total consideration transferred was $1.9 million, which consisted of $1.0 million in cash at closing and the estimated fair value of $1.0 million in contingent consideration to be paid out over four years based on PolytEDA's technical achievement and projected operating income through January 2025.</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Pursuant to the stock purchase agreement for the acquisition of PolytEDA, the selling shareholders are entitled to milestone consideration of up to an aggregate total of $1.0 million based upon PolytEDA's technical achievement during 2021 and 2022 in addition to earn-out consideration over a three-year period beginning on the second year following the closing of the acquisition through January 2025. The earn-out does not have a minimum and is based on 20% of the operating income generated by PolytEDA on a quarterly basis, subject to an initial hold-back or payout from a working capital adjustment from the close of the acquisition.</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milestone consideration and earn-out are liabilities classified as contingent consideration as the obligations are due in cash. As such the obligations are recorded at their fair value and re-valued period to period with any changes recorded to operating income (expense). See also,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9</w:t>
      </w:r>
      <w:r>
        <w:rPr>
          <w:rFonts w:ascii="Arial" w:cs="Arial" w:eastAsia="Arial" w:hAnsi="Arial"/>
          <w:sz w:val="17"/>
          <w:szCs w:val="17"/>
          <w:color w:val="000000"/>
        </w:rPr>
        <w:t>, Accrued Expenses, and</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Note 16</w:t>
      </w:r>
      <w:r>
        <w:rPr>
          <w:rFonts w:ascii="Arial" w:cs="Arial" w:eastAsia="Arial" w:hAnsi="Arial"/>
          <w:sz w:val="17"/>
          <w:szCs w:val="17"/>
          <w:color w:val="000000"/>
        </w:rPr>
        <w:t>, Fair Value of Financial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assets acquired and liabilities assumed in the PolytEDA acquisition: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center"/>
              <w:ind w:right="215"/>
              <w:spacing w:after="0"/>
              <w:rPr>
                <w:sz w:val="20"/>
                <w:szCs w:val="20"/>
                <w:color w:val="auto"/>
              </w:rPr>
            </w:pPr>
            <w:r>
              <w:rPr>
                <w:rFonts w:ascii="Arial" w:cs="Arial" w:eastAsia="Arial" w:hAnsi="Arial"/>
                <w:sz w:val="14"/>
                <w:szCs w:val="14"/>
                <w:b w:val="1"/>
                <w:bCs w:val="1"/>
                <w:color w:val="auto"/>
              </w:rPr>
              <w:t>Weighted Average</w:t>
            </w: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780" w:type="dxa"/>
            <w:vAlign w:val="bottom"/>
            <w:gridSpan w:val="3"/>
          </w:tcPr>
          <w:p>
            <w:pPr>
              <w:jc w:val="center"/>
              <w:ind w:right="215"/>
              <w:spacing w:after="0" w:line="149" w:lineRule="exact"/>
              <w:rPr>
                <w:sz w:val="20"/>
                <w:szCs w:val="20"/>
                <w:color w:val="auto"/>
              </w:rPr>
            </w:pPr>
            <w:r>
              <w:rPr>
                <w:rFonts w:ascii="Arial" w:cs="Arial" w:eastAsia="Arial" w:hAnsi="Arial"/>
                <w:sz w:val="14"/>
                <w:szCs w:val="14"/>
                <w:b w:val="1"/>
                <w:bCs w:val="1"/>
                <w:color w:val="auto"/>
              </w:rPr>
              <w:t>Amortization Period</w:t>
            </w:r>
          </w:p>
        </w:tc>
        <w:tc>
          <w:tcPr>
            <w:tcW w:w="128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8180" w:type="dxa"/>
            <w:vAlign w:val="bottom"/>
            <w:gridSpan w:val="2"/>
            <w:vMerge w:val="continue"/>
          </w:tcPr>
          <w:p>
            <w:pPr>
              <w:spacing w:after="0"/>
              <w:rPr>
                <w:sz w:val="16"/>
                <w:szCs w:val="16"/>
                <w:color w:val="auto"/>
              </w:rPr>
            </w:pPr>
          </w:p>
        </w:tc>
        <w:tc>
          <w:tcPr>
            <w:tcW w:w="178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rPr>
              <w:t>(Years)</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8"/>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78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7"/>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27"/>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232"/>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tax liability</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1,974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developed technology was determined under a discounted cash flow model through application of the Income Approach, using the Multi-Period Earnings Method. The fair value of customer relationships was derived through a discounted cash flow model under two scenarios. The first scenario relied on a forecast which assumed commercial customers are in place. The second scenario drew from a forecast which assumed that customer relationships would need to be developed over a four year period.</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believes that significant synergies are expected to arise from the acquisition of PolytEDA which resulted in goodwill, as the purchase price exceeded the net fair value of the acquired assets and assumed liabilities as part of the stock purchase agreement. The fair value of goodwill associated with the PolytEDA acquisition is not tax deductible for income tax purposes.</w:t>
      </w:r>
    </w:p>
    <w:p>
      <w:pPr>
        <w:spacing w:after="0" w:line="114"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During the year ended December 31, 2021, the Company incurred $23.5 thousand in acquisition-related expenses, recognized as selling, general and administrative expense on the consolidated statements of income.</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operating results of PolytEDA have been included in the Company’s consolidated financial statements since the date of acquisition, and the effects of the business combination were not material to the Company’s consolidated results of operations during 2021.</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On February 24, 2022, Russia launched a war on Ukraine. In connection with this event, management is actively assessing the Company's remediation plans and evaluating the anticipated financial consequence of this event on the Company's consolidated financial statements. See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15</w:t>
      </w:r>
      <w:r>
        <w:rPr>
          <w:rFonts w:ascii="Arial" w:cs="Arial" w:eastAsia="Arial" w:hAnsi="Arial"/>
          <w:sz w:val="17"/>
          <w:szCs w:val="17"/>
          <w:color w:val="000000"/>
        </w:rPr>
        <w:t>, Subsequent Events.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property and equipment at December 31, 2020 and 2021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5,581</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Equipment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751</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property and equipment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6,953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7,011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(6,374)</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property and equipment, net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637</w:t>
            </w: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$0.2 million and $0.3 million for the years ended December 31, 2020 and 2021,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73"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Goodwill represents the excess of the fair value of consideration transferred over the fair value of net identifiable assets acquired. Identifiable intangible assets acquired in business combinations and asset acquisitions are recorded based on their fair values on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during the years ended December 31, 2020 and 2021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Goodwill on January 1st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7,342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7,672</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Acquisitions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1,386</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5"/>
        </w:trPr>
        <w:tc>
          <w:tcPr>
            <w:tcW w:w="8140" w:type="dxa"/>
            <w:vAlign w:val="bottom"/>
          </w:tcPr>
          <w:p>
            <w:pPr>
              <w:ind w:left="240"/>
              <w:spacing w:after="0"/>
              <w:rPr>
                <w:sz w:val="20"/>
                <w:szCs w:val="20"/>
                <w:color w:val="auto"/>
              </w:rPr>
            </w:pPr>
            <w:r>
              <w:rPr>
                <w:rFonts w:ascii="Arial" w:cs="Arial" w:eastAsia="Arial" w:hAnsi="Arial"/>
                <w:sz w:val="17"/>
                <w:szCs w:val="17"/>
                <w:b w:val="1"/>
                <w:bCs w:val="1"/>
                <w:color w:val="auto"/>
              </w:rPr>
              <w:t>Goodwill on December 31st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7,672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9,026</w:t>
            </w:r>
          </w:p>
        </w:tc>
      </w:tr>
      <w:tr>
        <w:trPr>
          <w:trHeight w:val="21"/>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2020 and 2021, intangible assets were classified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Accumulated</w:t>
            </w:r>
          </w:p>
        </w:tc>
        <w:tc>
          <w:tcPr>
            <w:tcW w:w="15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5"/>
        </w:trPr>
        <w:tc>
          <w:tcPr>
            <w:tcW w:w="498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Period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(1,753)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(3,781)</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1,730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2021</w:t>
            </w: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rPr>
              <w:t>Accumulated</w:t>
            </w:r>
          </w:p>
        </w:tc>
        <w:tc>
          <w:tcPr>
            <w:tcW w:w="15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498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Period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(4,340)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1,644</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Amortization expense for the intangible assets reflected above was $0.6 million and $0.8 million for the years ended December 31, 2020 and 2021,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estimated future amortization expense for the intangible assets reflected above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For Years Ending December 31,</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01"/>
        </w:trPr>
        <w:tc>
          <w:tcPr>
            <w:tcW w:w="9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1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544</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9740" w:type="dxa"/>
            <w:vAlign w:val="bottom"/>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1,644</w:t>
            </w:r>
          </w:p>
        </w:tc>
      </w:tr>
      <w:tr>
        <w:trPr>
          <w:trHeight w:val="21"/>
        </w:trPr>
        <w:tc>
          <w:tcPr>
            <w:tcW w:w="9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1"/>
        </w:trPr>
        <w:tc>
          <w:tcPr>
            <w:tcW w:w="97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Balance Sheet Components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w:t>
            </w:r>
          </w:p>
        </w:tc>
      </w:tr>
      <w:tr>
        <w:trPr>
          <w:trHeight w:val="230"/>
        </w:trPr>
        <w:tc>
          <w:tcPr>
            <w:tcW w:w="81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Deferred sales commissions </w:t>
            </w:r>
            <w:r>
              <w:rPr>
                <w:rFonts w:ascii="Arial" w:cs="Arial" w:eastAsia="Arial" w:hAnsi="Arial"/>
                <w:sz w:val="22"/>
                <w:szCs w:val="22"/>
                <w:color w:val="auto"/>
                <w:vertAlign w:val="superscript"/>
              </w:rPr>
              <w:t>(a)</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616</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taxes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Short-term lease deposits</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prepaid expenses and other current assets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2,221</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453"/>
        </w:trPr>
        <w:tc>
          <w:tcPr>
            <w:tcW w:w="8140" w:type="dxa"/>
            <w:vAlign w:val="bottom"/>
          </w:tcPr>
          <w:p>
            <w:pPr>
              <w:spacing w:after="0"/>
              <w:rPr>
                <w:sz w:val="20"/>
                <w:szCs w:val="20"/>
                <w:color w:val="auto"/>
              </w:rPr>
            </w:pPr>
            <w:r>
              <w:rPr>
                <w:rFonts w:ascii="Arial" w:cs="Arial" w:eastAsia="Arial" w:hAnsi="Arial"/>
                <w:sz w:val="17"/>
                <w:szCs w:val="17"/>
                <w:color w:val="auto"/>
              </w:rPr>
              <w:t>Other assets consisted of the following:</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94"/>
        </w:trPr>
        <w:tc>
          <w:tcPr>
            <w:tcW w:w="8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3"/>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195"/>
        </w:trPr>
        <w:tc>
          <w:tcPr>
            <w:tcW w:w="8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line="233" w:lineRule="exact"/>
              <w:rPr>
                <w:sz w:val="20"/>
                <w:szCs w:val="20"/>
                <w:color w:val="auto"/>
              </w:rPr>
            </w:pPr>
            <w:r>
              <w:rPr>
                <w:rFonts w:ascii="Arial" w:cs="Arial" w:eastAsia="Arial" w:hAnsi="Arial"/>
                <w:sz w:val="17"/>
                <w:szCs w:val="17"/>
                <w:color w:val="auto"/>
              </w:rPr>
              <w:t xml:space="preserve">Deferred sales commissions </w:t>
            </w:r>
            <w:r>
              <w:rPr>
                <w:rFonts w:ascii="Arial" w:cs="Arial" w:eastAsia="Arial" w:hAnsi="Arial"/>
                <w:sz w:val="22"/>
                <w:szCs w:val="22"/>
                <w:color w:val="auto"/>
                <w:vertAlign w:val="superscript"/>
              </w:rPr>
              <w:t>(a)</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lease deposits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other assets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1,802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1,587</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Balance reflects commissions paid for new contracts, primarily new multi-year term license arrangements to be amortized over the anticipated customer life of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Parties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2020, Silvaco had notes payable to Kipee International, Inc. (“Kipee”) with a total balance owed of $1.2 million and notes receivable from New Horizons (Cambridge) LTD (“NHC”) of GBP $0.7 million, or $0.9 million, and New Horizons France (“NHF”) of $1.5 million. Each of Kipee, NHC and NHF are real estate entities owned and controlled by the Company's sole stockholder as of December 31, 2020. The Company's Director of Global Sales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118" w:right="3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Operations also serves as director of NHC. The notes payable to Kipee and the notes receivable from NHC and NHF were settled in September 2021, with the Company's sole stockholder paying Silvaco $0.2 million, which is the net balance remaining after settlement of both the Kipee notes and the NHC and NHF notes.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to its notes receivable the Company has two international office leases with NHC and NHF in Cambridgeshire, England and Grenoble, France, respectively, and through September of 2021, the Company leased office space from Kipee in Austin, Texas. In connection with these lease arrangements, the Company recorded rent expense in the aggregate amount of $0.4 million during the years ended December 31, 2020 and 2021.</w:t>
      </w:r>
    </w:p>
    <w:p>
      <w:pPr>
        <w:spacing w:after="0" w:line="13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 xml:space="preserve">On December 8, 2021, Silvaco entered into a promissory note with the Company's founding principal stockholder for $0.5 million (“Promissory Note”) bearing an interest rate of 3.25% payable on July 1, 2022. As of December 31, 2021, the balance of Promissory Note, including accrued interest, was $0.5 million. The Promissory Note was repaid in full in July 2022. See also </w:t>
      </w:r>
      <w:r>
        <w:rPr>
          <w:rFonts w:ascii="Arial" w:cs="Arial" w:eastAsia="Arial" w:hAnsi="Arial"/>
          <w:sz w:val="17"/>
          <w:szCs w:val="17"/>
          <w:u w:val="single" w:color="auto"/>
          <w:color w:val="0000FF"/>
        </w:rPr>
        <w:t>Note 17</w:t>
      </w:r>
      <w:r>
        <w:rPr>
          <w:rFonts w:ascii="Arial" w:cs="Arial" w:eastAsia="Arial" w:hAnsi="Arial"/>
          <w:sz w:val="17"/>
          <w:szCs w:val="17"/>
          <w:color w:val="auto"/>
        </w:rPr>
        <w:t>, Subsequent Events.</w:t>
      </w:r>
    </w:p>
    <w:p>
      <w:pPr>
        <w:spacing w:after="0" w:line="136" w:lineRule="exact"/>
        <w:rPr>
          <w:sz w:val="20"/>
          <w:szCs w:val="20"/>
          <w:color w:val="auto"/>
        </w:rPr>
      </w:pPr>
    </w:p>
    <w:p>
      <w:pPr>
        <w:ind w:right="6660" w:firstLine="8"/>
        <w:spacing w:after="0" w:line="361" w:lineRule="auto"/>
        <w:tabs>
          <w:tab w:leader="none" w:pos="2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Expenses and Other Long-Term Liabilities </w:t>
      </w:r>
      <w:r>
        <w:rPr>
          <w:rFonts w:ascii="Arial" w:cs="Arial" w:eastAsia="Arial" w:hAnsi="Arial"/>
          <w:sz w:val="17"/>
          <w:szCs w:val="17"/>
          <w:color w:val="auto"/>
        </w:rPr>
        <w:t>Accrued expenses consisted of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 expenses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Accrued taxes payable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1,718</w:t>
            </w:r>
          </w:p>
        </w:tc>
      </w:tr>
      <w:tr>
        <w:trPr>
          <w:trHeight w:val="232"/>
        </w:trPr>
        <w:tc>
          <w:tcPr>
            <w:tcW w:w="814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Accrued royalties payable</w:t>
            </w:r>
            <w:r>
              <w:rPr>
                <w:rFonts w:ascii="Arial" w:cs="Arial" w:eastAsia="Arial" w:hAnsi="Arial"/>
                <w:sz w:val="23"/>
                <w:szCs w:val="23"/>
                <w:color w:val="auto"/>
                <w:vertAlign w:val="superscript"/>
              </w:rPr>
              <w:t>(a)</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w:t>
            </w:r>
          </w:p>
        </w:tc>
      </w:tr>
      <w:tr>
        <w:trPr>
          <w:trHeight w:val="229"/>
        </w:trPr>
        <w:tc>
          <w:tcPr>
            <w:tcW w:w="8140" w:type="dxa"/>
            <w:vAlign w:val="bottom"/>
          </w:tcPr>
          <w:p>
            <w:pPr>
              <w:ind w:left="20"/>
              <w:spacing w:after="0" w:line="230" w:lineRule="exact"/>
              <w:rPr>
                <w:sz w:val="20"/>
                <w:szCs w:val="20"/>
                <w:color w:val="auto"/>
              </w:rPr>
            </w:pPr>
            <w:r>
              <w:rPr>
                <w:rFonts w:ascii="Arial" w:cs="Arial" w:eastAsia="Arial" w:hAnsi="Arial"/>
                <w:sz w:val="17"/>
                <w:szCs w:val="17"/>
                <w:color w:val="auto"/>
              </w:rPr>
              <w:t>Contingent consideration</w:t>
            </w:r>
            <w:r>
              <w:rPr>
                <w:rFonts w:ascii="Arial" w:cs="Arial" w:eastAsia="Arial" w:hAnsi="Arial"/>
                <w:sz w:val="23"/>
                <w:szCs w:val="23"/>
                <w:color w:val="auto"/>
                <w:vertAlign w:val="superscript"/>
              </w:rPr>
              <w:t>(b), (c)</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operating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accrued expenses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8,536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8,169</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Other long-term liabilities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line="233" w:lineRule="exact"/>
              <w:rPr>
                <w:sz w:val="20"/>
                <w:szCs w:val="20"/>
                <w:color w:val="auto"/>
              </w:rPr>
            </w:pPr>
            <w:r>
              <w:rPr>
                <w:rFonts w:ascii="Arial" w:cs="Arial" w:eastAsia="Arial" w:hAnsi="Arial"/>
                <w:sz w:val="17"/>
                <w:szCs w:val="17"/>
                <w:color w:val="auto"/>
              </w:rPr>
              <w:t xml:space="preserve">Contingent consideration </w:t>
            </w:r>
            <w:r>
              <w:rPr>
                <w:rFonts w:ascii="Arial" w:cs="Arial" w:eastAsia="Arial" w:hAnsi="Arial"/>
                <w:sz w:val="23"/>
                <w:szCs w:val="23"/>
                <w:color w:val="auto"/>
                <w:vertAlign w:val="superscript"/>
              </w:rPr>
              <w:t>(b), (c)</w:t>
            </w:r>
          </w:p>
        </w:tc>
        <w:tc>
          <w:tcPr>
            <w:tcW w:w="10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r>
      <w:tr>
        <w:trPr>
          <w:trHeight w:val="223"/>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Total other long-term liabilities</w:t>
            </w:r>
          </w:p>
        </w:tc>
        <w:tc>
          <w:tcPr>
            <w:tcW w:w="100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891</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72" w:lineRule="exact"/>
        <w:rPr>
          <w:sz w:val="20"/>
          <w:szCs w:val="20"/>
          <w:color w:val="auto"/>
        </w:rPr>
      </w:pPr>
    </w:p>
    <w:p>
      <w:pPr>
        <w:jc w:val="both"/>
        <w:ind w:left="340" w:hanging="332"/>
        <w:spacing w:after="0" w:line="268" w:lineRule="auto"/>
        <w:tabs>
          <w:tab w:leader="none" w:pos="327" w:val="left"/>
        </w:tabs>
        <w:numPr>
          <w:ilvl w:val="0"/>
          <w:numId w:val="86"/>
        </w:numPr>
        <w:rPr>
          <w:rFonts w:ascii="Arial" w:cs="Arial" w:eastAsia="Arial" w:hAnsi="Arial"/>
          <w:sz w:val="14"/>
          <w:szCs w:val="14"/>
          <w:color w:val="auto"/>
        </w:rPr>
      </w:pPr>
      <w:r>
        <w:rPr>
          <w:rFonts w:ascii="Arial" w:cs="Arial" w:eastAsia="Arial" w:hAnsi="Arial"/>
          <w:sz w:val="14"/>
          <w:szCs w:val="14"/>
          <w:color w:val="auto"/>
        </w:rPr>
        <w:t>Silvaco has entered into various renewable license agreements under which the Company has been granted access to the licensor's technology and the right to sell the technology in its product line. Royalties are payable to developers of the software at various rates and amounts, which generally are based upon unit sales, revenue or flat fees. Royalty fees are reported in cost of revenue upon delivery pursuant to the terms and conditions of the Company’s contractual obligations.</w:t>
      </w:r>
    </w:p>
    <w:p>
      <w:pPr>
        <w:spacing w:after="0" w:line="1"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On March 2, 2018, Silvaco, Nangate Inc, Nangate Denmark APS (together with Nangate, Inc. referred to as “Nangate”) and Nangate's shareholder representative, Ole Christian Andersen, entered into a stock purchase agreement, pursuant to which Silvaco agreed to purchase all the outstanding capital stock of Nangate. Pursuant to the stock purchase agreement, the selling shareholders of Nangate are entitled to an earn-out over a five-year period between the closing date of the acquisition and March 3, 2023. The earn-out does not have a minimum and is based on 20% of net revenues generated by Nangate on a quarterly basis, subject to an initial hold-back or payout from a working capital adjustment from the close of the acquisition. This earn-out is a liability classified as contingent consideration as the obligation is due in cash. As such the obligation is recorded at its fair value and re-valued period to period with any changes recorded to operating income (expense). In an effort to clarify its obligations with respect to the earnout payment due to the selling shareholders of Nangate, the Company sought declaratory relief in the California Superior Court in December 2020. See also, </w:t>
      </w:r>
      <w:r>
        <w:rPr>
          <w:rFonts w:ascii="Arial" w:cs="Arial" w:eastAsia="Arial" w:hAnsi="Arial"/>
          <w:sz w:val="14"/>
          <w:szCs w:val="14"/>
          <w:u w:val="single" w:color="auto"/>
          <w:color w:val="0000FF"/>
        </w:rPr>
        <w:t>Note 14</w:t>
      </w:r>
      <w:r>
        <w:rPr>
          <w:rFonts w:ascii="Arial" w:cs="Arial" w:eastAsia="Arial" w:hAnsi="Arial"/>
          <w:sz w:val="14"/>
          <w:szCs w:val="14"/>
          <w:color w:val="auto"/>
        </w:rPr>
        <w:t xml:space="preserve">, Commitments and Contingencies, and </w:t>
      </w:r>
      <w:r>
        <w:rPr>
          <w:rFonts w:ascii="Arial" w:cs="Arial" w:eastAsia="Arial" w:hAnsi="Arial"/>
          <w:sz w:val="14"/>
          <w:szCs w:val="14"/>
          <w:u w:val="single" w:color="auto"/>
          <w:color w:val="0000FF"/>
        </w:rPr>
        <w:t>Note 16</w:t>
      </w:r>
      <w:r>
        <w:rPr>
          <w:rFonts w:ascii="Arial" w:cs="Arial" w:eastAsia="Arial" w:hAnsi="Arial"/>
          <w:sz w:val="14"/>
          <w:szCs w:val="14"/>
          <w:color w:val="auto"/>
        </w:rPr>
        <w:t>, Fair Value of Financial Instruments.</w:t>
      </w:r>
    </w:p>
    <w:p>
      <w:pPr>
        <w:spacing w:after="0" w:line="3" w:lineRule="exact"/>
        <w:rPr>
          <w:rFonts w:ascii="Arial" w:cs="Arial" w:eastAsia="Arial" w:hAnsi="Arial"/>
          <w:sz w:val="14"/>
          <w:szCs w:val="14"/>
          <w:color w:val="auto"/>
        </w:rPr>
      </w:pPr>
    </w:p>
    <w:p>
      <w:pPr>
        <w:jc w:val="both"/>
        <w:ind w:left="340" w:hanging="332"/>
        <w:spacing w:after="0" w:line="262" w:lineRule="auto"/>
        <w:tabs>
          <w:tab w:leader="none" w:pos="332" w:val="left"/>
        </w:tabs>
        <w:numPr>
          <w:ilvl w:val="0"/>
          <w:numId w:val="86"/>
        </w:numPr>
        <w:rPr>
          <w:rFonts w:ascii="Arial" w:cs="Arial" w:eastAsia="Arial" w:hAnsi="Arial"/>
          <w:sz w:val="14"/>
          <w:szCs w:val="14"/>
          <w:color w:val="auto"/>
        </w:rPr>
      </w:pPr>
      <w:r>
        <w:rPr>
          <w:rFonts w:ascii="Arial" w:cs="Arial" w:eastAsia="Arial" w:hAnsi="Arial"/>
          <w:sz w:val="14"/>
          <w:szCs w:val="14"/>
          <w:color w:val="auto"/>
        </w:rPr>
        <w:t xml:space="preserve">Pursuant to the January 2021 stock purchase agreement for the acquisition of PolytEDA, the selling shareholders are entitled to milestone consideration of up to $1.0 million based upon PolytEDA's technical achievement during 2021 and 2022 in addition to earn-out consideration over a three-year period beginning on the second year following the closing of the acquisition through January 2025. The earn-out does not have a minimum and is based on 20% of the operating income generated by PolytEDA on a quarterly basis, subject to an initial hold-back or payout from a working capital adjustment from the close of the acquisition. The milestone consideration and earn-out are liabilities classified as contingent consideration as the obligations are due in cash. As such the obligations are recorded at their fair value and re-valued period to period with any changes recorded to operating income (expense). See also, </w:t>
      </w:r>
      <w:r>
        <w:rPr>
          <w:rFonts w:ascii="Arial" w:cs="Arial" w:eastAsia="Arial" w:hAnsi="Arial"/>
          <w:sz w:val="14"/>
          <w:szCs w:val="14"/>
          <w:u w:val="single" w:color="auto"/>
          <w:color w:val="0000FF"/>
        </w:rPr>
        <w:t>Note 4</w:t>
      </w:r>
      <w:r>
        <w:rPr>
          <w:rFonts w:ascii="Arial" w:cs="Arial" w:eastAsia="Arial" w:hAnsi="Arial"/>
          <w:sz w:val="14"/>
          <w:szCs w:val="14"/>
          <w:color w:val="auto"/>
        </w:rPr>
        <w:t xml:space="preserve">, Acquisitions and </w:t>
      </w:r>
      <w:r>
        <w:rPr>
          <w:rFonts w:ascii="Arial" w:cs="Arial" w:eastAsia="Arial" w:hAnsi="Arial"/>
          <w:sz w:val="14"/>
          <w:szCs w:val="14"/>
          <w:u w:val="single" w:color="auto"/>
          <w:color w:val="0000FF"/>
        </w:rPr>
        <w:t>Note 16</w:t>
      </w:r>
      <w:r>
        <w:rPr>
          <w:rFonts w:ascii="Arial" w:cs="Arial" w:eastAsia="Arial" w:hAnsi="Arial"/>
          <w:sz w:val="14"/>
          <w:szCs w:val="14"/>
          <w:color w:val="auto"/>
        </w:rPr>
        <w:t>, 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40"/>
          </w:cols>
          <w:pgMar w:left="320" w:top="118" w:right="3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 Payable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30, 2020, the Company entered into a loan with Bank of the West in an aggregate principal amount of $2.3 million pursuant to the PPP Loan under the Coronavirus Aid, Relief, and Economic Security Act (the “CARES Act”). The PPP Loan was evidenced by a promissory note, dated May 7, 2020, maturing two years from the disbursement date, bearing interest at a rate of 1.0% per annum, with the first six months of interest deferred. The PPP Loan was subject to forgiveness to the extent proceeds were used pursuant to the terms and limitations of the PPP Loan. On June 29, 2021, the PPP Loan was forgiven. The forgiveness of the PPP Loan amount during 2021 is reflected as a gain on debt extinguishment in the consolidated statements of income (loss)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Restricted Stock Units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Silvaco has 8 million shares of common stock reserved for RSU grants. Since 2014, the Company has issued RSUs to employees, directors, and advisors, pursuant to its 2014 Plan. As of December 31, 2020 and 2021, 3,254,729 and 4,276,919 RSUs were outstanding under the 2014 Plan, including 1,259,790 and 1,432,000 RSUs granted during the years ended December 31, 2020 and 2021, respectively. The RSUs generally have two vesting requirements, a time and service-based requirement (the “Time-Based Requirement”) and a “Liquidity Event Requirement.”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service requirement satisfied on the grant date. The Liquidity Event Requirement requires the completion of an underwritten initial public offering or a change of control, as defined in the Company's 2014 Plan documents.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RSU activity for 2020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Borders>
              <w:top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5"/>
          </w:tcPr>
          <w:p>
            <w:pPr>
              <w:jc w:val="center"/>
              <w:ind w:left="1057"/>
              <w:spacing w:after="0"/>
              <w:rPr>
                <w:sz w:val="20"/>
                <w:szCs w:val="20"/>
                <w:color w:val="auto"/>
              </w:rPr>
            </w:pPr>
            <w:r>
              <w:rPr>
                <w:rFonts w:ascii="Arial" w:cs="Arial" w:eastAsia="Arial" w:hAnsi="Arial"/>
                <w:sz w:val="14"/>
                <w:szCs w:val="14"/>
                <w:b w:val="1"/>
                <w:bCs w:val="1"/>
                <w:color w:val="auto"/>
              </w:rPr>
              <w:t>Restricted Stock Units</w:t>
            </w: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Remaining</w:t>
            </w:r>
          </w:p>
        </w:tc>
        <w:tc>
          <w:tcPr>
            <w:tcW w:w="12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Granted</w:t>
            </w:r>
          </w:p>
        </w:tc>
        <w:tc>
          <w:tcPr>
            <w:tcW w:w="100" w:type="dxa"/>
            <w:vAlign w:val="bottom"/>
          </w:tcPr>
          <w:p>
            <w:pPr>
              <w:spacing w:after="0"/>
              <w:rPr>
                <w:sz w:val="12"/>
                <w:szCs w:val="12"/>
                <w:color w:val="auto"/>
              </w:rPr>
            </w:pPr>
          </w:p>
        </w:tc>
        <w:tc>
          <w:tcPr>
            <w:tcW w:w="14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Time Vested</w:t>
            </w:r>
          </w:p>
        </w:tc>
        <w:tc>
          <w:tcPr>
            <w:tcW w:w="11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Time Unvested</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 Term</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January 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2,120,278</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1,843,712</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276,566</w:t>
            </w:r>
          </w:p>
        </w:tc>
        <w:tc>
          <w:tcPr>
            <w:tcW w:w="0" w:type="dxa"/>
            <w:vAlign w:val="bottom"/>
          </w:tcPr>
          <w:p>
            <w:pPr>
              <w:spacing w:after="0"/>
              <w:rPr>
                <w:sz w:val="1"/>
                <w:szCs w:val="1"/>
                <w:color w:val="auto"/>
              </w:rPr>
            </w:pPr>
          </w:p>
        </w:tc>
      </w:tr>
      <w:tr>
        <w:trPr>
          <w:trHeight w:val="227"/>
        </w:trPr>
        <w:tc>
          <w:tcPr>
            <w:tcW w:w="4620" w:type="dxa"/>
            <w:vAlign w:val="bottom"/>
          </w:tcPr>
          <w:p>
            <w:pPr>
              <w:ind w:left="240"/>
              <w:spacing w:after="0"/>
              <w:rPr>
                <w:sz w:val="20"/>
                <w:szCs w:val="20"/>
                <w:color w:val="auto"/>
              </w:rPr>
            </w:pPr>
            <w:r>
              <w:rPr>
                <w:rFonts w:ascii="Arial" w:cs="Arial" w:eastAsia="Arial" w:hAnsi="Arial"/>
                <w:sz w:val="17"/>
                <w:szCs w:val="17"/>
                <w:color w:val="auto"/>
              </w:rPr>
              <w:t>Granted in 2020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1,259,790</w:t>
            </w:r>
          </w:p>
        </w:tc>
        <w:tc>
          <w:tcPr>
            <w:tcW w:w="100" w:type="dxa"/>
            <w:vAlign w:val="bottom"/>
          </w:tcPr>
          <w:p>
            <w:pPr>
              <w:spacing w:after="0"/>
              <w:rPr>
                <w:sz w:val="19"/>
                <w:szCs w:val="19"/>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1,259,790</w:t>
            </w: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151,289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(151,289)</w:t>
            </w:r>
          </w:p>
        </w:tc>
        <w:tc>
          <w:tcPr>
            <w:tcW w:w="0" w:type="dxa"/>
            <w:vAlign w:val="bottom"/>
          </w:tcPr>
          <w:p>
            <w:pPr>
              <w:spacing w:after="0"/>
              <w:rPr>
                <w:sz w:val="1"/>
                <w:szCs w:val="1"/>
                <w:color w:val="auto"/>
              </w:rPr>
            </w:pPr>
          </w:p>
        </w:tc>
      </w:tr>
      <w:tr>
        <w:trPr>
          <w:trHeight w:val="227"/>
        </w:trPr>
        <w:tc>
          <w:tcPr>
            <w:tcW w:w="4620" w:type="dxa"/>
            <w:vAlign w:val="bottom"/>
          </w:tcPr>
          <w:p>
            <w:pPr>
              <w:ind w:left="240"/>
              <w:spacing w:after="0"/>
              <w:rPr>
                <w:sz w:val="20"/>
                <w:szCs w:val="20"/>
                <w:color w:val="auto"/>
              </w:rPr>
            </w:pPr>
            <w:r>
              <w:rPr>
                <w:rFonts w:ascii="Arial" w:cs="Arial" w:eastAsia="Arial" w:hAnsi="Arial"/>
                <w:sz w:val="17"/>
                <w:szCs w:val="17"/>
                <w:color w:val="auto"/>
              </w:rPr>
              <w:t>Forfeited / canceled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(125,339)</w:t>
            </w:r>
          </w:p>
        </w:tc>
        <w:tc>
          <w:tcPr>
            <w:tcW w:w="100" w:type="dxa"/>
            <w:vAlign w:val="bottom"/>
          </w:tcPr>
          <w:p>
            <w:pPr>
              <w:spacing w:after="0"/>
              <w:rPr>
                <w:sz w:val="19"/>
                <w:szCs w:val="19"/>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(125,339)</w:t>
            </w: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6.33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3,254,729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1,995,001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1,259,728</w:t>
            </w:r>
          </w:p>
        </w:tc>
        <w:tc>
          <w:tcPr>
            <w:tcW w:w="0" w:type="dxa"/>
            <w:vAlign w:val="bottom"/>
          </w:tcPr>
          <w:p>
            <w:pPr>
              <w:spacing w:after="0"/>
              <w:rPr>
                <w:sz w:val="1"/>
                <w:szCs w:val="1"/>
                <w:color w:val="auto"/>
              </w:rPr>
            </w:pPr>
          </w:p>
        </w:tc>
      </w:tr>
      <w:tr>
        <w:trPr>
          <w:trHeight w:val="227"/>
        </w:trPr>
        <w:tc>
          <w:tcPr>
            <w:tcW w:w="4620" w:type="dxa"/>
            <w:vAlign w:val="bottom"/>
          </w:tcPr>
          <w:p>
            <w:pPr>
              <w:ind w:left="240"/>
              <w:spacing w:after="0"/>
              <w:rPr>
                <w:sz w:val="20"/>
                <w:szCs w:val="20"/>
                <w:color w:val="auto"/>
              </w:rPr>
            </w:pPr>
            <w:r>
              <w:rPr>
                <w:rFonts w:ascii="Arial" w:cs="Arial" w:eastAsia="Arial" w:hAnsi="Arial"/>
                <w:sz w:val="17"/>
                <w:szCs w:val="17"/>
                <w:color w:val="auto"/>
              </w:rPr>
              <w:t>Granted in 2021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1,432,000</w:t>
            </w:r>
          </w:p>
        </w:tc>
        <w:tc>
          <w:tcPr>
            <w:tcW w:w="100" w:type="dxa"/>
            <w:vAlign w:val="bottom"/>
          </w:tcPr>
          <w:p>
            <w:pPr>
              <w:spacing w:after="0"/>
              <w:rPr>
                <w:sz w:val="19"/>
                <w:szCs w:val="19"/>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1,432,000</w:t>
            </w: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463,418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(463,418)</w:t>
            </w:r>
          </w:p>
        </w:tc>
        <w:tc>
          <w:tcPr>
            <w:tcW w:w="0" w:type="dxa"/>
            <w:vAlign w:val="bottom"/>
          </w:tcPr>
          <w:p>
            <w:pPr>
              <w:spacing w:after="0"/>
              <w:rPr>
                <w:sz w:val="1"/>
                <w:szCs w:val="1"/>
                <w:color w:val="auto"/>
              </w:rPr>
            </w:pPr>
          </w:p>
        </w:tc>
      </w:tr>
      <w:tr>
        <w:trPr>
          <w:trHeight w:val="227"/>
        </w:trPr>
        <w:tc>
          <w:tcPr>
            <w:tcW w:w="4620" w:type="dxa"/>
            <w:vAlign w:val="bottom"/>
          </w:tcPr>
          <w:p>
            <w:pPr>
              <w:ind w:left="240"/>
              <w:spacing w:after="0"/>
              <w:rPr>
                <w:sz w:val="20"/>
                <w:szCs w:val="20"/>
                <w:color w:val="auto"/>
              </w:rPr>
            </w:pPr>
            <w:r>
              <w:rPr>
                <w:rFonts w:ascii="Arial" w:cs="Arial" w:eastAsia="Arial" w:hAnsi="Arial"/>
                <w:sz w:val="17"/>
                <w:szCs w:val="17"/>
                <w:color w:val="auto"/>
              </w:rPr>
              <w:t>Forfeited / canceled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(399,810)</w:t>
            </w:r>
          </w:p>
        </w:tc>
        <w:tc>
          <w:tcPr>
            <w:tcW w:w="100" w:type="dxa"/>
            <w:vAlign w:val="bottom"/>
          </w:tcPr>
          <w:p>
            <w:pPr>
              <w:spacing w:after="0"/>
              <w:rPr>
                <w:sz w:val="19"/>
                <w:szCs w:val="19"/>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(399,810)</w:t>
            </w:r>
          </w:p>
        </w:tc>
        <w:tc>
          <w:tcPr>
            <w:tcW w:w="0" w:type="dxa"/>
            <w:vAlign w:val="bottom"/>
          </w:tcPr>
          <w:p>
            <w:pPr>
              <w:spacing w:after="0"/>
              <w:rPr>
                <w:sz w:val="1"/>
                <w:szCs w:val="1"/>
                <w:color w:val="auto"/>
              </w:rPr>
            </w:pPr>
          </w:p>
        </w:tc>
      </w:tr>
      <w:tr>
        <w:trPr>
          <w:trHeight w:val="29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4,286,919</w:t>
            </w:r>
          </w:p>
        </w:tc>
        <w:tc>
          <w:tcPr>
            <w:tcW w:w="100" w:type="dxa"/>
            <w:vAlign w:val="bottom"/>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2,458,419</w:t>
            </w:r>
          </w:p>
        </w:tc>
        <w:tc>
          <w:tcPr>
            <w:tcW w:w="100" w:type="dxa"/>
            <w:vAlign w:val="bottom"/>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1,828,500</w:t>
            </w:r>
          </w:p>
        </w:tc>
        <w:tc>
          <w:tcPr>
            <w:tcW w:w="0" w:type="dxa"/>
            <w:vAlign w:val="bottom"/>
          </w:tcPr>
          <w:p>
            <w:pPr>
              <w:spacing w:after="0"/>
              <w:rPr>
                <w:sz w:val="1"/>
                <w:szCs w:val="1"/>
                <w:color w:val="auto"/>
              </w:rPr>
            </w:pPr>
          </w:p>
        </w:tc>
      </w:tr>
      <w:tr>
        <w:trPr>
          <w:trHeight w:val="41"/>
        </w:trPr>
        <w:tc>
          <w:tcPr>
            <w:tcW w:w="4620" w:type="dxa"/>
            <w:vAlign w:val="bottom"/>
            <w:tcBorders>
              <w:top w:val="single" w:sz="8" w:color="CCEEFF"/>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grant date fair value of the RSU awards was based on the Probability-Weighted Expected Return Method, which assessed the value of the Company’s equity based on an analysis of future enterprise values under various scenarios.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equity value of Silvaco was determined by applying certain probability weightings to the estimated values in two Liquidity Event scenarios as well as a “Stay Private” scenario. For the year ended December 31, 2020, the analysis gave consideration to a Special Purpose Acquisition Company (SPAC) transaction and a traditional initial public offering (“IPO”). For the year ended December 31, 2021, the analysis gave consideration to two IPO scenarios, one “Early” and one “Late.” For the Stay Private scenario, the Company’s value was estimated using an Income Approach, based on earnings power through application of the Discounted Cash Flow Method, and the Market Approach, specifically the Guideline Comparable Company Method and Guideline Transaction Method. The estimated value of the common stock in each scenario was then probability-weighted based on inputs provided by management regarding the likelihood of each scenario as of the valuation date.</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Consistent with the relevant accounting guidance, the Company has not recorded share-based compensation expense for the RSUs, due to the Liquidity Event Requirement. The Company has valued the unrecorded share-based compensation expense using historical estimates of the fair value of the Company's common stock.</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2020, the Company had 3,254,729 RSUs and $7.2 million in deferred share-based compensation expense, of which 1,995,001 RSUs and $2.9 million represent awards that have met the Time-Based Requirement, and the remaining 1,259,728 RSUs and $4.3 million represent awards that have not met this requirement.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40"/>
          </w:cols>
          <w:pgMar w:left="320" w:top="118"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2021 the Company had 4,286,919 RSUs and $11.4 million in deferred share-based compensation expense, of which $5.2 million deferred share-based compensation expense relates to 2,458,419 RSUs that have met the Time-Based Requirement, and the remaining $6.2 million deferred share-based compensation expense relates to 1,828,500 RSUs awards that have not met this requirement.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domestic and foreign components of the Company's income (loss) before tax provision for the years ended December 31, 2020 and 2021,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3"/>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Domestic</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Foreign</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 provision</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(1,575)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Company's income tax provision for the years ended December 31, 2020 and 2021,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Federal</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State</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Foreign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312</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Foreign</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provision</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2020 and 2021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Accruals and reserves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Depreciable and amortizable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Net operating loss carryforward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2,145</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Tax Credits</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7,276</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7,806</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deferred tax asset</w:t>
            </w:r>
          </w:p>
        </w:tc>
        <w:tc>
          <w:tcPr>
            <w:tcW w:w="920" w:type="dxa"/>
            <w:vAlign w:val="bottom"/>
            <w:tcBorders>
              <w:bottom w:val="single" w:sz="8" w:color="auto"/>
            </w:tcBorders>
          </w:tcPr>
          <w:p>
            <w:pPr>
              <w:jc w:val="right"/>
              <w:ind w:right="718"/>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8,933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10,278</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Valuation allowance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(9,255)</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Net deferred tax asset</w:t>
            </w:r>
          </w:p>
        </w:tc>
        <w:tc>
          <w:tcPr>
            <w:tcW w:w="920" w:type="dxa"/>
            <w:vAlign w:val="bottom"/>
            <w:tcBorders>
              <w:bottom w:val="single" w:sz="8" w:color="auto"/>
            </w:tcBorders>
          </w:tcPr>
          <w:p>
            <w:pPr>
              <w:jc w:val="right"/>
              <w:ind w:right="718"/>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Revenue recognition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(1,023)</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intangibles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5"/>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Net deferred tax liability</w:t>
            </w:r>
          </w:p>
        </w:tc>
        <w:tc>
          <w:tcPr>
            <w:tcW w:w="920" w:type="dxa"/>
            <w:vAlign w:val="bottom"/>
            <w:tcBorders>
              <w:bottom w:val="single" w:sz="8" w:color="auto"/>
            </w:tcBorders>
          </w:tcPr>
          <w:p>
            <w:pPr>
              <w:jc w:val="right"/>
              <w:ind w:right="718"/>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w:t>
            </w: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is a reconciliation of the federal statutory income tax rate to the Company's effective tax rate for the years ended December 31,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Tax at federal statutory rate</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21 %</w:t>
            </w:r>
          </w:p>
        </w:tc>
      </w:tr>
      <w:tr>
        <w:trPr>
          <w:trHeight w:val="227"/>
        </w:trPr>
        <w:tc>
          <w:tcPr>
            <w:tcW w:w="8980" w:type="dxa"/>
            <w:vAlign w:val="bottom"/>
            <w:gridSpan w:val="2"/>
          </w:tcPr>
          <w:p>
            <w:pPr>
              <w:ind w:left="240"/>
              <w:spacing w:after="0"/>
              <w:rPr>
                <w:sz w:val="20"/>
                <w:szCs w:val="20"/>
                <w:color w:val="auto"/>
              </w:rPr>
            </w:pPr>
            <w:r>
              <w:rPr>
                <w:rFonts w:ascii="Arial" w:cs="Arial" w:eastAsia="Arial" w:hAnsi="Arial"/>
                <w:sz w:val="17"/>
                <w:szCs w:val="17"/>
                <w:color w:val="auto"/>
              </w:rPr>
              <w:t>Tax credits</w:t>
            </w:r>
          </w:p>
        </w:tc>
        <w:tc>
          <w:tcPr>
            <w:tcW w:w="56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20 %</w:t>
            </w:r>
          </w:p>
        </w:tc>
      </w:tr>
      <w:tr>
        <w:trPr>
          <w:trHeight w:val="232"/>
        </w:trPr>
        <w:tc>
          <w:tcPr>
            <w:tcW w:w="89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27"/>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Valuation allowance</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45"/>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Effective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42"/>
        </w:trPr>
        <w:tc>
          <w:tcPr>
            <w:tcW w:w="79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Management establishes a valuation allowance for those deductible temporary differences when it is more likely than not that the benefit of such deferred tax assets will not be recognized. The ultimate realization of deferred tax assets is dependent upon the Company's ability to generate taxable income during periods in which the temporary differences become deductible. Management regularly reviews the deferred tax assets for recoverability and establishes a valuation allowance based on historical taxable income, projected future taxable income, and the expected timing of the reversals of existing temporary differences. Through the year ended December 31, 2021, management believes that it is more likely than not that the deferred tax assets will not be realized, such that a full valuation allowance has been recorded.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2021, the valuation allowance increased by $1.9 million.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2021, the Company had net operating loss carryforwards for federal income tax purposes of $10.5 million, of which $6.6 million have no expiration date and the remaining begin expiring in 2036. As of December 31, 2021, the Company had federal research and development tax credits of $6.2 million which begin expiring in 2024.</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of December 31, 2021 the Company had net operating loss carryforwards for state income tax purposes of $3.1 million which begin expiring in 2034 and state research and development credits of $7.3 million which begin expiring in 2022.</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has not recorded a provision for deferred U.S. tax expense that could result from the remittance of foreign undistributed earnings since the Company intends to reinvest the earnings in its foreign subsidiaries indefinitely.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the Company's gross unrecognized tax benefits: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8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6"/>
                <w:szCs w:val="16"/>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January 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7"/>
                <w:szCs w:val="17"/>
                <w:b w:val="1"/>
                <w:bCs w:val="1"/>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9,115</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Increases related to prior years' tax positions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Increases related to current year's tax positions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Decreases related to prior years' tax positions</w:t>
            </w:r>
          </w:p>
        </w:tc>
        <w:tc>
          <w:tcPr>
            <w:tcW w:w="9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0"/>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w:t>
            </w:r>
          </w:p>
        </w:tc>
        <w:tc>
          <w:tcPr>
            <w:tcW w:w="96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10,054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records the tax benefits of uncertain income tax positions where recognition is not more likely than not. As of December 31, 2021, the Company has unrecognized tax benefits of $10.1 million, of which $0.4 million would impact the effective tax rate, if recognized, and the remainder would result in the establishment of a deferred tax asset and a corresponding valuation allowance.</w:t>
      </w:r>
    </w:p>
    <w:p>
      <w:pPr>
        <w:spacing w:after="0" w:line="13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During the tax year 2021, interest and penalties recorded in the statements of income(loss) were $14 thousand. The Company does not believe there will be material changes in its unrecognized tax positions over the next 12 months.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files income tax returns in the U.S. federal jurisdiction, various state jurisdictions and certain foreign jurisdictions. The Company is not currently under audit by the Internal Revenue Service or other similar state, local, and foreign authorities. All tax years remain open to examination by major taxing jurisdictions to which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is subject for a period of 3 years for federal and 4 years for states, after the utilization of net operating loss carryforwards and credits.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 and Geographical Concentration</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reviews revenues of the Company's operating segments for performance evaluation and resource allocation among these three solution offerings. The Company's operating segments have been aggregated into one reportable segment, as they are similar in the nature of services, production process, and distribution of services.</w:t>
      </w:r>
    </w:p>
    <w:p>
      <w:pPr>
        <w:spacing w:after="0" w:line="125"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The Company's single reportable segment recorded customer revenue from the following geographical areas for the years ended December 31, 2020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7"/>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Region</w:t>
            </w:r>
          </w:p>
        </w:tc>
        <w:tc>
          <w:tcPr>
            <w:tcW w:w="36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top w:val="single" w:sz="8" w:color="auto"/>
            </w:tcBorders>
          </w:tcPr>
          <w:p>
            <w:pPr>
              <w:spacing w:after="0"/>
              <w:rPr>
                <w:sz w:val="16"/>
                <w:szCs w:val="16"/>
                <w:color w:val="auto"/>
              </w:rPr>
            </w:pPr>
          </w:p>
        </w:tc>
      </w:tr>
      <w:tr>
        <w:trPr>
          <w:trHeight w:val="23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Asia</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24,839</w:t>
            </w: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North America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12,195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13,174</w:t>
            </w: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3,390</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3,950</w:t>
            </w: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revenue</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40,280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41,963</w:t>
            </w: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manages its assets on a total company basis, not by operating segment. Therefore, the chief operating decision maker does not regularly review any asset information by operating segment and, accordingly, asset information is not reported by operating segment.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property and equipment by region as of December 31, 2020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top w:val="single" w:sz="8" w:color="auto"/>
              <w:bottom w:val="single" w:sz="8" w:color="auto"/>
            </w:tcBorders>
          </w:tcPr>
          <w:p>
            <w:pPr>
              <w:spacing w:after="0"/>
              <w:rPr>
                <w:sz w:val="18"/>
                <w:szCs w:val="18"/>
                <w:color w:val="auto"/>
              </w:rPr>
            </w:pPr>
          </w:p>
        </w:tc>
      </w:tr>
      <w:tr>
        <w:trPr>
          <w:trHeight w:val="197"/>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Region</w:t>
            </w:r>
          </w:p>
        </w:tc>
        <w:tc>
          <w:tcPr>
            <w:tcW w:w="36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193"/>
        </w:trPr>
        <w:tc>
          <w:tcPr>
            <w:tcW w:w="8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Borders>
              <w:top w:val="single" w:sz="8" w:color="auto"/>
            </w:tcBorders>
          </w:tcPr>
          <w:p>
            <w:pPr>
              <w:spacing w:after="0"/>
              <w:rPr>
                <w:sz w:val="16"/>
                <w:szCs w:val="16"/>
                <w:color w:val="auto"/>
              </w:rPr>
            </w:pPr>
          </w:p>
        </w:tc>
      </w:tr>
      <w:tr>
        <w:trPr>
          <w:trHeight w:val="234"/>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27"/>
        </w:trPr>
        <w:tc>
          <w:tcPr>
            <w:tcW w:w="8140" w:type="dxa"/>
            <w:vAlign w:val="bottom"/>
            <w:gridSpan w:val="2"/>
          </w:tcPr>
          <w:p>
            <w:pPr>
              <w:ind w:left="20"/>
              <w:spacing w:after="0"/>
              <w:rPr>
                <w:sz w:val="20"/>
                <w:szCs w:val="20"/>
                <w:color w:val="auto"/>
              </w:rPr>
            </w:pPr>
            <w:r>
              <w:rPr>
                <w:rFonts w:ascii="Arial" w:cs="Arial" w:eastAsia="Arial" w:hAnsi="Arial"/>
                <w:sz w:val="17"/>
                <w:szCs w:val="17"/>
                <w:color w:val="auto"/>
              </w:rPr>
              <w:t>Asia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32"/>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81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property and equipment</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637</w:t>
            </w: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
        </w:trPr>
        <w:tc>
          <w:tcPr>
            <w:tcW w:w="8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headquarters are located in Santa Clara, California, where the Company has an operating lease covering its corporate office expiring in June 2022. The Company also has operating leases in the United States in Georgia, Texas and Massachusetts, and abroad, in Japan, France, China, the United Kingdom, and South Korea, among other countries. The expiration dates for these leases range from 2022 through 2029. Total rent expense for operating leases was $1.2 million and $1.4 million for the years ended December 31, 2020 and 2021,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schedule of future minimum lease payments for all operating leases as of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Amount</w:t>
            </w:r>
          </w:p>
        </w:tc>
      </w:tr>
      <w:tr>
        <w:trPr>
          <w:trHeight w:val="200"/>
        </w:trPr>
        <w:tc>
          <w:tcPr>
            <w:tcW w:w="9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18"/>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1,170</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470</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future minimum lease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5,402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9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years ended December 31, 2020 and 2021, the Company has not incurred any costs related to warranty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2" w:lineRule="exact"/>
        <w:rPr>
          <w:sz w:val="20"/>
          <w:szCs w:val="20"/>
          <w:color w:val="auto"/>
        </w:rPr>
      </w:pPr>
    </w:p>
    <w:p>
      <w:pPr>
        <w:ind w:firstLine="8"/>
        <w:spacing w:after="0" w:line="264" w:lineRule="auto"/>
        <w:tabs>
          <w:tab w:leader="none" w:pos="299"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Such indemnification provisions are accounted for in accordance with the authoritative guidance issued by the FASB on guarantees. From time to time, in the ordinary course of business, the Company receives claims for indemnification, typically from original equipment manufacturers.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involved in routine legal proceedings in the ordinary course of business.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an effort to clarify its obligations with respect to the earnout payment due to the selling shareholders of Nangate, the Company sought declaratory relief in the California Superior Court in December 2020. In February 2021, two of the selling shareholders of Nangate (together with a third cross-complainant who joined later, the “Nangate Parties”) filed a cross-complaint against the Company and two members of the Company’s board of directors, alleging, among other causes of action, breach of contract, fraud and negligent misrepresentation. In January 2022, Andersen filed a third amended cross-complaint against Silvaco, Inc. and certain of its board members alleging breach of contract, fraud, and unfair business practices and is seeking $20 million in damages, along with punitive damages. In the intervening period, the Company and the Nangate Parties have engaged in motion practice related to, among other items, the removal of certain of the Company’s board members from the proceedings. Each party has also responded to requests for production and begun performing depositions. No trial date has been set. The Company considers these allegations to be baseless and is vigorously defending itself in this litigation. The Company accordingly has not recorded a charge for this contingency.</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On August 19, 2021, Aldini sued the Company, the Company’s French affiliate, a member of the Company’s board of directors and the Company’s CEO, among numerous other noncompany defendants, in connection with the Company’s interactions with Dolphin. Aldini’s allegations center around the bankruptcy and reorganization of Dolphin in 2018 and Silvaco’s acquisition of certain memory assets of Dolphin, which Aldini alleges was done in violation of its rights as a shareholder of Dolphin. Aldini further alleges that the Company, along with the other defendants, was involved in a conspiracy to defraud Dolphin shareholders such as Aldini. The Company considers these allegations to be baseless and is vigorously defending itself in this litigation. The Company accordingly has not recorded a charge for this contingency. See </w:t>
      </w:r>
      <w:r>
        <w:rPr>
          <w:rFonts w:ascii="Arial" w:cs="Arial" w:eastAsia="Arial" w:hAnsi="Arial"/>
          <w:sz w:val="17"/>
          <w:szCs w:val="17"/>
          <w:u w:val="single" w:color="auto"/>
          <w:color w:val="0000FF"/>
        </w:rPr>
        <w:t>Note 4</w:t>
      </w:r>
      <w:r>
        <w:rPr>
          <w:rFonts w:ascii="Arial" w:cs="Arial" w:eastAsia="Arial" w:hAnsi="Arial"/>
          <w:sz w:val="17"/>
          <w:szCs w:val="17"/>
          <w:color w:val="auto"/>
        </w:rPr>
        <w:t>,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Defined Contribution Plan</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maintains a defined contribution or 401(k) Plan for its qualified U.S. employees. Participants may contribute a percentage of their compensation on a pre-tax basis, subject to a maximum annual contribution imposed by the Internal Revenue Code. During each of the years ended December 31, 2020 and 2021, the Company contributed $0.1 million to the 401(k) Plan.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liabilities that are measured on a recurring basis as of December 31, 2020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60" w:type="dxa"/>
            <w:vAlign w:val="bottom"/>
            <w:tcBorders>
              <w:top w:val="single" w:sz="8" w:color="auto"/>
              <w:bottom w:val="single" w:sz="8" w:color="auto"/>
            </w:tcBorders>
            <w:gridSpan w:val="9"/>
          </w:tcPr>
          <w:p>
            <w:pPr>
              <w:jc w:val="center"/>
              <w:ind w:left="901"/>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1180" w:type="dxa"/>
            <w:vAlign w:val="bottom"/>
            <w:tcBorders>
              <w:top w:val="single" w:sz="8" w:color="auto"/>
              <w:bottom w:val="single" w:sz="8" w:color="auto"/>
            </w:tcBorders>
          </w:tcPr>
          <w:p>
            <w:pPr>
              <w:spacing w:after="0"/>
              <w:rPr>
                <w:sz w:val="18"/>
                <w:szCs w:val="18"/>
                <w:color w:val="auto"/>
              </w:rPr>
            </w:pPr>
          </w:p>
        </w:tc>
      </w:tr>
      <w:tr>
        <w:trPr>
          <w:trHeight w:val="189"/>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center"/>
              <w:ind w:left="661"/>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7"/>
        </w:trPr>
        <w:tc>
          <w:tcPr>
            <w:tcW w:w="502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1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1,088</w:t>
            </w:r>
          </w:p>
        </w:tc>
      </w:tr>
      <w:tr>
        <w:trPr>
          <w:trHeight w:val="250"/>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1,088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18"/>
        </w:trPr>
        <w:tc>
          <w:tcPr>
            <w:tcW w:w="5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9"/>
          </w:tcPr>
          <w:p>
            <w:pPr>
              <w:jc w:val="center"/>
              <w:ind w:left="901"/>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1180" w:type="dxa"/>
            <w:vAlign w:val="bottom"/>
            <w:tcBorders>
              <w:bottom w:val="single" w:sz="8" w:color="auto"/>
            </w:tcBorders>
          </w:tcPr>
          <w:p>
            <w:pPr>
              <w:spacing w:after="0"/>
              <w:rPr>
                <w:sz w:val="24"/>
                <w:szCs w:val="24"/>
                <w:color w:val="auto"/>
              </w:rPr>
            </w:pPr>
          </w:p>
        </w:tc>
      </w:tr>
      <w:tr>
        <w:trPr>
          <w:trHeight w:val="189"/>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center"/>
              <w:ind w:left="661"/>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7"/>
        </w:trPr>
        <w:tc>
          <w:tcPr>
            <w:tcW w:w="502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1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7"/>
                <w:szCs w:val="17"/>
                <w:color w:val="auto"/>
              </w:rPr>
              <w:t>1,870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1,870</w:t>
            </w:r>
          </w:p>
        </w:tc>
      </w:tr>
      <w:tr>
        <w:trPr>
          <w:trHeight w:val="250"/>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1,870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5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stock purchase agreements for the acquisition of Nangate and PolytEDA, the selling shareholders are entitled to additional milestone and earn out consideration based on net revenues, operating income and technical achievement. The milestone consideration and earn-out liabilities are classified as contingent consideration as the obligations are due in cash. As such the obligations are recorded at their fair value and re-valued period to period with any changes recorded to operating income (expense).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 See also, </w:t>
      </w:r>
      <w:r>
        <w:rPr>
          <w:rFonts w:ascii="Arial" w:cs="Arial" w:eastAsia="Arial" w:hAnsi="Arial"/>
          <w:sz w:val="17"/>
          <w:szCs w:val="17"/>
          <w:u w:val="single" w:color="auto"/>
          <w:color w:val="0000FF"/>
        </w:rPr>
        <w:t>Note 4</w:t>
      </w:r>
      <w:r>
        <w:rPr>
          <w:rFonts w:ascii="Arial" w:cs="Arial" w:eastAsia="Arial" w:hAnsi="Arial"/>
          <w:sz w:val="17"/>
          <w:szCs w:val="17"/>
          <w:color w:val="auto"/>
        </w:rPr>
        <w:t xml:space="preserve">, Acquisitions, </w:t>
      </w:r>
      <w:r>
        <w:rPr>
          <w:rFonts w:ascii="Arial" w:cs="Arial" w:eastAsia="Arial" w:hAnsi="Arial"/>
          <w:sz w:val="17"/>
          <w:szCs w:val="17"/>
          <w:u w:val="single" w:color="auto"/>
          <w:color w:val="0000FF"/>
        </w:rPr>
        <w:t>Note 9</w:t>
      </w:r>
      <w:r>
        <w:rPr>
          <w:rFonts w:ascii="Arial" w:cs="Arial" w:eastAsia="Arial" w:hAnsi="Arial"/>
          <w:sz w:val="17"/>
          <w:szCs w:val="17"/>
          <w:color w:val="auto"/>
        </w:rPr>
        <w:t xml:space="preserve">, Accrued Liabilities and </w:t>
      </w:r>
      <w:r>
        <w:rPr>
          <w:rFonts w:ascii="Arial" w:cs="Arial" w:eastAsia="Arial" w:hAnsi="Arial"/>
          <w:sz w:val="17"/>
          <w:szCs w:val="17"/>
          <w:u w:val="single" w:color="auto"/>
          <w:color w:val="0000FF"/>
        </w:rPr>
        <w:t>Note 14</w:t>
      </w:r>
      <w:r>
        <w:rPr>
          <w:rFonts w:ascii="Arial" w:cs="Arial" w:eastAsia="Arial" w:hAnsi="Arial"/>
          <w:sz w:val="17"/>
          <w:szCs w:val="17"/>
          <w:color w:val="auto"/>
        </w:rPr>
        <w:t>, Commitments and Contingencies.</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changes in the liability related to contingent consideration during the years ended December 31,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as of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 in fair value</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Earn-out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PolytEDA acquisition</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 in fair value</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Earn-out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281"/>
        <w:spacing w:after="0"/>
        <w:rPr>
          <w:sz w:val="20"/>
          <w:szCs w:val="20"/>
          <w:color w:val="auto"/>
        </w:rPr>
      </w:pPr>
      <w:r>
        <w:rPr>
          <w:rFonts w:ascii="Arial" w:cs="Arial" w:eastAsia="Arial" w:hAnsi="Arial"/>
          <w:sz w:val="14"/>
          <w:szCs w:val="14"/>
          <w:i w:val="1"/>
          <w:iCs w:val="1"/>
          <w:color w:val="auto"/>
        </w:rPr>
        <w:t>(in thousands)</w:t>
      </w:r>
    </w:p>
    <w:p>
      <w:pPr>
        <w:spacing w:after="0" w:line="40" w:lineRule="exact"/>
        <w:rPr>
          <w:sz w:val="20"/>
          <w:szCs w:val="20"/>
          <w:color w:val="auto"/>
        </w:rPr>
      </w:pPr>
    </w:p>
    <w:p>
      <w:pPr>
        <w:ind w:left="981" w:hanging="981"/>
        <w:spacing w:after="0"/>
        <w:tabs>
          <w:tab w:leader="none" w:pos="981"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1,578</w:t>
      </w:r>
    </w:p>
    <w:p>
      <w:pPr>
        <w:spacing w:after="0" w:line="39" w:lineRule="exact"/>
        <w:rPr>
          <w:rFonts w:ascii="Arial" w:cs="Arial" w:eastAsia="Arial" w:hAnsi="Arial"/>
          <w:sz w:val="17"/>
          <w:szCs w:val="17"/>
          <w:b w:val="1"/>
          <w:bCs w:val="1"/>
          <w:color w:val="auto"/>
        </w:rPr>
      </w:pPr>
    </w:p>
    <w:p>
      <w:pPr>
        <w:ind w:left="1141"/>
        <w:spacing w:after="0"/>
        <w:rPr>
          <w:rFonts w:ascii="Arial" w:cs="Arial" w:eastAsia="Arial" w:hAnsi="Arial"/>
          <w:sz w:val="17"/>
          <w:szCs w:val="17"/>
          <w:b w:val="1"/>
          <w:bCs w:val="1"/>
          <w:color w:val="auto"/>
        </w:rPr>
      </w:pPr>
      <w:r>
        <w:rPr>
          <w:rFonts w:ascii="Arial" w:cs="Arial" w:eastAsia="Arial" w:hAnsi="Arial"/>
          <w:sz w:val="17"/>
          <w:szCs w:val="17"/>
          <w:color w:val="auto"/>
        </w:rPr>
        <w:t>(36)</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951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8" w:lineRule="exact"/>
        <w:rPr>
          <w:sz w:val="20"/>
          <w:szCs w:val="20"/>
          <w:color w:val="auto"/>
        </w:rPr>
      </w:pPr>
    </w:p>
    <w:p>
      <w:pPr>
        <w:ind w:left="981"/>
        <w:spacing w:after="0"/>
        <w:rPr>
          <w:sz w:val="20"/>
          <w:szCs w:val="20"/>
          <w:color w:val="auto"/>
        </w:rPr>
      </w:pPr>
      <w:r>
        <w:rPr>
          <w:rFonts w:ascii="Arial" w:cs="Arial" w:eastAsia="Arial" w:hAnsi="Arial"/>
          <w:sz w:val="17"/>
          <w:szCs w:val="17"/>
          <w:b w:val="1"/>
          <w:bCs w:val="1"/>
          <w:color w:val="auto"/>
        </w:rPr>
        <w:t>1,088</w:t>
      </w:r>
    </w:p>
    <w:p>
      <w:pPr>
        <w:spacing w:after="0" w:line="48" w:lineRule="exact"/>
        <w:rPr>
          <w:sz w:val="20"/>
          <w:szCs w:val="20"/>
          <w:color w:val="auto"/>
        </w:rPr>
      </w:pPr>
    </w:p>
    <w:p>
      <w:pPr>
        <w:ind w:left="1121"/>
        <w:spacing w:after="0"/>
        <w:rPr>
          <w:sz w:val="20"/>
          <w:szCs w:val="20"/>
          <w:color w:val="auto"/>
        </w:rPr>
      </w:pPr>
      <w:r>
        <w:rPr>
          <w:rFonts w:ascii="Arial" w:cs="Arial" w:eastAsia="Arial" w:hAnsi="Arial"/>
          <w:sz w:val="17"/>
          <w:szCs w:val="17"/>
          <w:color w:val="auto"/>
        </w:rPr>
        <w:t>974</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295</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(440)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(47)</w:t>
      </w:r>
    </w:p>
    <w:p>
      <w:pPr>
        <w:spacing w:after="0" w:line="48" w:lineRule="exact"/>
        <w:rPr>
          <w:sz w:val="20"/>
          <w:szCs w:val="20"/>
          <w:color w:val="auto"/>
        </w:rPr>
      </w:pPr>
    </w:p>
    <w:p>
      <w:pPr>
        <w:ind w:left="981" w:hanging="981"/>
        <w:spacing w:after="0"/>
        <w:tabs>
          <w:tab w:leader="none" w:pos="981"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1,870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52705</wp:posOffset>
            </wp:positionV>
            <wp:extent cx="9512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39" w:space="720"/>
            <w:col w:w="1481"/>
          </w:cols>
          <w:pgMar w:left="320" w:top="118" w:right="339" w:bottom="1440" w:gutter="0" w:footer="0" w:header="0"/>
          <w:type w:val="continuous"/>
        </w:sectPr>
      </w:pP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Nonfinancial assets such as property and equipment, intangibles assets, and goodwill are evaluated for impairment and adjusted to fair value using Level 3 inputs only when impairment is recognized.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February 24, 2022, Russia launched a war with Ukraine. In connection with this event, management is currently assessing the recoverability of $1.8 million in intangible and other assets associated with the Ukrainian-based operations of PolytEDA on the Company's balance sheet as of December 31, 2021.</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On March 30, 2022, Silvaco entered a second related party note payable with the Company's founding principal stockholder for $0.5 million bearing interest at 3.25% payable on March 30, 2023.</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240"/>
          </w:cols>
          <w:pgMar w:left="320" w:top="118" w:right="3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1, 2022, the Company entered into a commercial lease agreement with Kipee, a related party, for Silvaco's new corporate office at 4701 Patrick Henry Drive in Santa Clara, California. The Company's future minimum lease commitment under this three year arrangement, which commenced on May 1, 2022 and expires on March 31, 2025, is $0.6 million.</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June 13, 2022, Silvaco entered into a $4.0 million line of credit with the Company's founding principal stockholder bearing interest at a rate of prime plus 1% per annum. The Company has drawn $2.0 million on this line of credit as of September 23, 2022.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In July 2022, Silvaco’s $0.5 million Promissory Note was repaid in full.</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August 23, 2022, Aldini AG filed a Second Amended Complaint against Silvaco, Inc., Silvaco France, and certain of its board members that included claims of trade secret theft, conspiracy, and intentional interference with a prospective economic advantage in relation to Silvaco’s acquisition of certain assets of Dolphin Design SAS. Aldini AG seeks $703 million and punitive damages. Silvaco, Inc. filed a motion to dismiss the suit and intends to contest the matter vigorously.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118" w:right="3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par value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 2021</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97"/>
        </w:trPr>
        <w:tc>
          <w:tcPr>
            <w:tcW w:w="8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Cash</w:t>
            </w: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6,704</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3,971</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Accounts receivable, net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9,113</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Contract assets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7,777</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current assets</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22,760</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Operating lease right-of-use assets, net</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2,413</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Goodwill</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9,026</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portion of contract assets</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2,295</w:t>
            </w:r>
          </w:p>
        </w:tc>
        <w:tc>
          <w:tcPr>
            <w:tcW w:w="0" w:type="dxa"/>
            <w:vAlign w:val="bottom"/>
          </w:tcPr>
          <w:p>
            <w:pPr>
              <w:spacing w:after="0"/>
              <w:rPr>
                <w:sz w:val="1"/>
                <w:szCs w:val="1"/>
                <w:color w:val="auto"/>
              </w:rPr>
            </w:pPr>
          </w:p>
        </w:tc>
      </w:tr>
      <w:tr>
        <w:trPr>
          <w:trHeight w:val="22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39,106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LIABILITIES AND STOCKHOLDERS' EQUITY</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52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684</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Accrued expenses</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9,592</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Accrued income taxes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Operating lease liabilities, current</w:t>
            </w:r>
          </w:p>
        </w:tc>
        <w:tc>
          <w:tcPr>
            <w:tcW w:w="5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Deferred revenue</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7,025</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notes payable</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Related party line of credit</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current liabilities</w:t>
            </w: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current liabilities</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21,743</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portion of deferred revenue</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3,509</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liabilities</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26,955</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260"/>
              <w:spacing w:after="0" w:line="169" w:lineRule="exact"/>
              <w:rPr>
                <w:sz w:val="20"/>
                <w:szCs w:val="20"/>
                <w:color w:val="auto"/>
              </w:rPr>
            </w:pPr>
            <w:r>
              <w:rPr>
                <w:rFonts w:ascii="Arial" w:cs="Arial" w:eastAsia="Arial" w:hAnsi="Arial"/>
                <w:sz w:val="17"/>
                <w:szCs w:val="17"/>
                <w:color w:val="auto"/>
              </w:rPr>
              <w:t>Common stock, $0.0001 par value; 50,000,000 shares authorized; 40,000,000 shares issued and</w:t>
            </w: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outstanding</w:t>
            </w:r>
          </w:p>
        </w:tc>
        <w:tc>
          <w:tcPr>
            <w:tcW w:w="5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15,854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14,953</w:t>
            </w:r>
          </w:p>
        </w:tc>
        <w:tc>
          <w:tcPr>
            <w:tcW w:w="0" w:type="dxa"/>
            <w:vAlign w:val="bottom"/>
          </w:tcPr>
          <w:p>
            <w:pPr>
              <w:spacing w:after="0"/>
              <w:rPr>
                <w:sz w:val="1"/>
                <w:szCs w:val="1"/>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Accumulated other comprehensive loss</w:t>
            </w: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(2,806)</w:t>
            </w: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stockholders' equity</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12,151</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stockholders' equity</w:t>
            </w: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39,106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8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240"/>
          </w:cols>
          <w:pgMar w:left="320" w:top="118"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and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Software license revenue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21,563</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27,946</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Maintenance and service</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9,541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8,727</w:t>
            </w: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36,673</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6,767</w:t>
            </w:r>
          </w:p>
        </w:tc>
      </w:tr>
      <w:tr>
        <w:trPr>
          <w:trHeight w:val="221"/>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29,906</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9,851</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7,935</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11,607</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Impairment charges</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r>
      <w:tr>
        <w:trPr>
          <w:trHeight w:val="221"/>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27,118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29,953</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Gain on debt extinguishment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net</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Loss before income tax provision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per share amounts: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5"/>
        </w:trPr>
        <w:tc>
          <w:tcPr>
            <w:tcW w:w="814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40,000,000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40,000,000</w:t>
            </w:r>
          </w:p>
        </w:tc>
      </w:tr>
      <w:tr>
        <w:trPr>
          <w:trHeight w:val="99"/>
        </w:trPr>
        <w:tc>
          <w:tcPr>
            <w:tcW w:w="8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118" w:right="3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5"/>
          </w:tcPr>
          <w:p>
            <w:pPr>
              <w:jc w:val="right"/>
              <w:ind w:right="27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currency translation adjustments</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(2,219)</w:t>
            </w:r>
          </w:p>
        </w:tc>
      </w:tr>
      <w:tr>
        <w:trPr>
          <w:trHeight w:val="23"/>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
        </w:trPr>
        <w:tc>
          <w:tcPr>
            <w:tcW w:w="8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40"/>
          </w:cols>
          <w:pgMar w:left="320" w:top="118" w:right="3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 except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160" w:type="dxa"/>
            <w:vAlign w:val="bottom"/>
            <w:tcBorders>
              <w:top w:val="single" w:sz="8" w:color="auto"/>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restart"/>
          </w:tcPr>
          <w:p>
            <w:pPr>
              <w:ind w:left="12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60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20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4160" w:type="dxa"/>
            <w:vAlign w:val="bottom"/>
          </w:tcPr>
          <w:p>
            <w:pPr>
              <w:spacing w:after="0"/>
              <w:rPr>
                <w:sz w:val="4"/>
                <w:szCs w:val="4"/>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2020</w:t>
            </w: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40,000,000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17,242</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7"/>
                <w:szCs w:val="17"/>
                <w:color w:val="auto"/>
              </w:rPr>
              <w:t>Balance, September 30, 2021</w:t>
            </w: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rPr>
              <w:t>40,000,000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17,033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15,880</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4"/>
        </w:trPr>
        <w:tc>
          <w:tcPr>
            <w:tcW w:w="41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gridSpan w:val="2"/>
            <w:vMerge w:val="restart"/>
          </w:tcPr>
          <w:p>
            <w:pPr>
              <w:ind w:left="12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60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4"/>
                <w:szCs w:val="4"/>
                <w:color w:val="auto"/>
              </w:rPr>
            </w:pPr>
          </w:p>
        </w:tc>
        <w:tc>
          <w:tcPr>
            <w:tcW w:w="120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2"/>
        </w:trPr>
        <w:tc>
          <w:tcPr>
            <w:tcW w:w="4160" w:type="dxa"/>
            <w:vAlign w:val="bottom"/>
          </w:tcPr>
          <w:p>
            <w:pPr>
              <w:spacing w:after="0"/>
              <w:rPr>
                <w:sz w:val="4"/>
                <w:szCs w:val="4"/>
                <w:color w:val="auto"/>
              </w:rPr>
            </w:pP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4"/>
                <w:szCs w:val="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2021</w:t>
            </w: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40,000,000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15,854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14,370</w:t>
            </w: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7"/>
                <w:szCs w:val="17"/>
                <w:color w:val="auto"/>
              </w:rPr>
              <w:t>Balance, September 30, 2022</w:t>
            </w: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rPr>
              <w:t>40,000,000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12,151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118" w:right="3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Borders>
              <w:top w:val="single" w:sz="8" w:color="auto"/>
            </w:tcBorders>
          </w:tcPr>
          <w:p>
            <w:pPr>
              <w:spacing w:after="0"/>
              <w:rPr>
                <w:sz w:val="18"/>
                <w:szCs w:val="18"/>
                <w:color w:val="auto"/>
              </w:rPr>
            </w:pPr>
          </w:p>
        </w:tc>
        <w:tc>
          <w:tcPr>
            <w:tcW w:w="3100" w:type="dxa"/>
            <w:vAlign w:val="bottom"/>
            <w:tcBorders>
              <w:top w:val="single" w:sz="8" w:color="auto"/>
              <w:bottom w:val="single" w:sz="8" w:color="auto"/>
            </w:tcBorders>
            <w:gridSpan w:val="5"/>
          </w:tcPr>
          <w:p>
            <w:pPr>
              <w:jc w:val="right"/>
              <w:ind w:right="27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Net loss</w:t>
            </w:r>
          </w:p>
        </w:tc>
        <w:tc>
          <w:tcPr>
            <w:tcW w:w="920" w:type="dxa"/>
            <w:vAlign w:val="bottom"/>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(901)</w:t>
            </w:r>
          </w:p>
        </w:tc>
      </w:tr>
      <w:tr>
        <w:trPr>
          <w:trHeight w:val="169"/>
        </w:trPr>
        <w:tc>
          <w:tcPr>
            <w:tcW w:w="8140" w:type="dxa"/>
            <w:vAlign w:val="bottom"/>
            <w:shd w:val="clear" w:color="auto" w:fill="CCEEFF"/>
          </w:tcPr>
          <w:p>
            <w:pPr>
              <w:ind w:left="240"/>
              <w:spacing w:after="0" w:line="169" w:lineRule="exact"/>
              <w:rPr>
                <w:sz w:val="20"/>
                <w:szCs w:val="20"/>
                <w:color w:val="auto"/>
              </w:rPr>
            </w:pPr>
            <w:r>
              <w:rPr>
                <w:rFonts w:ascii="Arial" w:cs="Arial" w:eastAsia="Arial" w:hAnsi="Arial"/>
                <w:sz w:val="17"/>
                <w:szCs w:val="17"/>
                <w:color w:val="auto"/>
              </w:rPr>
              <w:t>Adjustments to reconcile net loss to net cash used in operating activities (excluding assets acquired and</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5"/>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liabilities assumed at acquisition):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391</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Gain on debt extinguishment</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Impairment charges</w:t>
            </w:r>
          </w:p>
        </w:tc>
        <w:tc>
          <w:tcPr>
            <w:tcW w:w="9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3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 in fair value of contingent consideration</w:t>
            </w: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7"/>
        </w:trPr>
        <w:tc>
          <w:tcPr>
            <w:tcW w:w="8140" w:type="dxa"/>
            <w:vAlign w:val="bottom"/>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(5,048)</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Contract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(1,863)</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Prepaid and other current assets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Accounts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(1,318)</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Accrued expenses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Income tax payable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339</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Deferred revenue</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w:t>
            </w:r>
          </w:p>
        </w:tc>
      </w:tr>
      <w:tr>
        <w:trPr>
          <w:trHeight w:val="227"/>
        </w:trPr>
        <w:tc>
          <w:tcPr>
            <w:tcW w:w="8140" w:type="dxa"/>
            <w:vAlign w:val="bottom"/>
          </w:tcPr>
          <w:p>
            <w:pPr>
              <w:ind w:left="680"/>
              <w:spacing w:after="0"/>
              <w:rPr>
                <w:sz w:val="20"/>
                <w:szCs w:val="20"/>
                <w:color w:val="auto"/>
              </w:rPr>
            </w:pPr>
            <w:r>
              <w:rPr>
                <w:rFonts w:ascii="Arial" w:cs="Arial" w:eastAsia="Arial" w:hAnsi="Arial"/>
                <w:sz w:val="17"/>
                <w:szCs w:val="17"/>
                <w:color w:val="auto"/>
              </w:rPr>
              <w:t>Other current liabilities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738</w:t>
            </w:r>
          </w:p>
        </w:tc>
      </w:tr>
      <w:tr>
        <w:trPr>
          <w:trHeight w:val="232"/>
        </w:trPr>
        <w:tc>
          <w:tcPr>
            <w:tcW w:w="81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 assets</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w:t>
            </w:r>
          </w:p>
        </w:tc>
      </w:tr>
      <w:tr>
        <w:trPr>
          <w:trHeight w:val="221"/>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used in operating activities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Acquisitions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Purchases of property and equipment</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Proceeds from related party loan receivable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Net cash provided used in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07"/>
        </w:trPr>
        <w:tc>
          <w:tcPr>
            <w:tcW w:w="814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Repayment of related party note</w:t>
            </w: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Contingent consideration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(822)</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Proceeds from related party financing</w:t>
            </w:r>
          </w:p>
        </w:tc>
        <w:tc>
          <w:tcPr>
            <w:tcW w:w="9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21"/>
        </w:trPr>
        <w:tc>
          <w:tcPr>
            <w:tcW w:w="8140" w:type="dxa"/>
            <w:vAlign w:val="bottom"/>
            <w:tcBorders>
              <w:bottom w:val="single" w:sz="8" w:color="CCEEFF"/>
            </w:tcBorders>
          </w:tcPr>
          <w:p>
            <w:pPr>
              <w:ind w:left="900"/>
              <w:spacing w:after="0"/>
              <w:rPr>
                <w:sz w:val="20"/>
                <w:szCs w:val="20"/>
                <w:color w:val="auto"/>
              </w:rPr>
            </w:pPr>
            <w:r>
              <w:rPr>
                <w:rFonts w:ascii="Arial" w:cs="Arial" w:eastAsia="Arial" w:hAnsi="Arial"/>
                <w:sz w:val="17"/>
                <w:szCs w:val="17"/>
                <w:color w:val="auto"/>
              </w:rPr>
              <w:t>Net cash provided by financing activities</w:t>
            </w: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1,178</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fluctuations on cash</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Net decrease in cash</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(2,733)</w:t>
            </w: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beginning of year</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6,704</w:t>
            </w:r>
          </w:p>
        </w:tc>
      </w:tr>
      <w:tr>
        <w:trPr>
          <w:trHeight w:val="221"/>
        </w:trPr>
        <w:tc>
          <w:tcPr>
            <w:tcW w:w="8140" w:type="dxa"/>
            <w:vAlign w:val="bottom"/>
          </w:tcPr>
          <w:p>
            <w:pPr>
              <w:ind w:left="20"/>
              <w:spacing w:after="0"/>
              <w:rPr>
                <w:sz w:val="20"/>
                <w:szCs w:val="20"/>
                <w:color w:val="auto"/>
              </w:rPr>
            </w:pPr>
            <w:r>
              <w:rPr>
                <w:rFonts w:ascii="Arial" w:cs="Arial" w:eastAsia="Arial" w:hAnsi="Arial"/>
                <w:sz w:val="17"/>
                <w:szCs w:val="17"/>
                <w:color w:val="auto"/>
              </w:rPr>
              <w:t>Cash, end of year</w:t>
            </w:r>
          </w:p>
        </w:tc>
        <w:tc>
          <w:tcPr>
            <w:tcW w:w="920" w:type="dxa"/>
            <w:vAlign w:val="bottom"/>
            <w:tcBorders>
              <w:bottom w:val="single" w:sz="8" w:color="auto"/>
            </w:tcBorders>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Income taxes paid</w:t>
            </w:r>
          </w:p>
        </w:tc>
        <w:tc>
          <w:tcPr>
            <w:tcW w:w="920" w:type="dxa"/>
            <w:vAlign w:val="bottom"/>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paid</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7"/>
        </w:trPr>
        <w:tc>
          <w:tcPr>
            <w:tcW w:w="8140" w:type="dxa"/>
            <w:vAlign w:val="bottom"/>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Right of use assets obtained in exchange for lease obligations</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w:t>
            </w:r>
          </w:p>
        </w:tc>
      </w:tr>
      <w:tr>
        <w:trPr>
          <w:trHeight w:val="227"/>
        </w:trPr>
        <w:tc>
          <w:tcPr>
            <w:tcW w:w="8140" w:type="dxa"/>
            <w:vAlign w:val="bottom"/>
          </w:tcPr>
          <w:p>
            <w:pPr>
              <w:ind w:left="240"/>
              <w:spacing w:after="0"/>
              <w:rPr>
                <w:sz w:val="20"/>
                <w:szCs w:val="20"/>
                <w:color w:val="auto"/>
              </w:rPr>
            </w:pPr>
            <w:r>
              <w:rPr>
                <w:rFonts w:ascii="Arial" w:cs="Arial" w:eastAsia="Arial" w:hAnsi="Arial"/>
                <w:sz w:val="17"/>
                <w:szCs w:val="17"/>
                <w:color w:val="auto"/>
              </w:rPr>
              <w:t>Related party loan payable net settled in exchange for related party loan receivable</w:t>
            </w:r>
          </w:p>
        </w:tc>
        <w:tc>
          <w:tcPr>
            <w:tcW w:w="920" w:type="dxa"/>
            <w:vAlign w:val="bottom"/>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Contingent and deferred consideration for business acquisition during the year</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94"/>
        </w:trPr>
        <w:tc>
          <w:tcPr>
            <w:tcW w:w="8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40"/>
          </w:cols>
          <w:pgMar w:left="320" w:top="118"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SILVACO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Silvaco Group, Inc. (“Silvaco,” and together with its subsidiaries, the “Company”)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Given the multi-discipline problem-solving needs of the Company's customers, a single license of software may require components from multiple product lines and include combined technologies. The Company also has a multi-year product and integration strategy that often results in new, combined products or changes to historical product offerings. As they are similar in the nature of services, production process, and distribution of services, the Company's solution offerings have been aggregated into one reportable segment.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and Reporting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4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and include the accounts of Silvaco and all of the Company's wholly-owned 16 subsidiaries with operations in North America, Europe, Asia and South America. All intercompany transactions and balances have been eliminated upon consolidation.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its audited consolidated financial statements for the year ended December 31, 2021 and the related notes thereto. The December 31, 2021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condensed consolidated financial statements.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results of operations for the nine months ended September 30, 2022 are not necessarily indicative of the Company’s operating results to be expected for the full fiscal year or any other future interim or annual period.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is continuing to monitor the impact of COVID-19 on all aspects of its business. The COVID-19 pandemic has caused and may continue to cause travel bans or disruptions, and in some cases, prohibition of non-essential activities, disruption and shutdown of businesses and greater uncertainty in global financial markets. The impact of COVID-19 is fluid and uncertain, but it has caused and may continue to cause various negative effects, including an inability to meet with actual or potential customers, customers deciding to delay or abandon their planned purchases or failing to make payments to the Company, closures in the Company’s customers’ offices, and delays or disruptions in its customers’ supply chains.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result of the COVID-19 pandemic, the Company expended resources to enable its employees to work from home. For example, the Company used resources to strengthen its cybersecurity measures and provide employees with work from home stipends, computers and related equipment, and enhanced internet bandwidth connections. In some locations the Company incurred costs associated with the transition from work from home back to its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240"/>
          </w:cols>
          <w:pgMar w:left="320" w:top="118" w:right="3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including sanitization costs and cost related to creating workstations and work schedule that permit social distancing. In other locations, the Company closed, and has not reopened, its offices. To help alleviate the impact of the COVID-19 pandemic, the Company received a PPP loan pursuant to the CARES Act on May 7, 2020, in an aggregate principal amount of $2.3 million. The Company used proceeds of the PPP Loan to fund qualifying payroll and other expenses.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ability to close transactions with new and existing customers, its demand generation activities, and the efficiency and effect of those activities may be negatively affected, and it has been and, until the COVID-19 pandemic is contained, will continue to, be more difficult for the Company to forecast its operating results. These uncertainties have, and may continue to, put pressure on global economic conditions. Overall research and development spending has caused, and may continue to cause, the Company’s customers to modify spending priorities or delay or abandon purchasing decisions, thereby lengthening bookings cycles for the Company’s software solutions and making it difficult for management to forecast bookings and operating results and make decisions about future investments, any of which could materially harm the Company’s business, operating results and financial condition.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Further, the Company’s management team is focused on addressing the impacts of COVID-19 on its business, which has required and will continue to require, a large investment of their time and resources and may distract the Company’s management team or disrupt the Company’s operating plans. The extent to which COVID-19 ultimately impacts the Company’s results of operations, cash flow and financial position will depend on future developments, which are uncertain and cannot be predicted, including but not limited to, the duration and spread of the pandemic, its severity, the actions taken by governments and authorities to contain the virus or treat its impact, and how quickly and to what extent normal economic and operating conditions can resume.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 in Ukraine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On February 24, 2022, Russia launched a full scale invasion of Ukraine. As a result of local economic uncertainties and disruption created by the initiation of war, the Company recorded an impairment charge of $0.6 million to reduce the carrying value of intangible assets associated with Silvaco's Ukrainian subsidiary which management determined would not be recoverable. See also Note 5, Acquisitions, Note 6, Goodwill and Intangible Assets and </w:t>
      </w:r>
      <w:r>
        <w:rPr>
          <w:rFonts w:ascii="Arial" w:cs="Arial" w:eastAsia="Arial" w:hAnsi="Arial"/>
          <w:sz w:val="17"/>
          <w:szCs w:val="17"/>
          <w:u w:val="single" w:color="auto"/>
          <w:color w:val="0000FF"/>
        </w:rPr>
        <w:t>Note 13</w:t>
      </w:r>
      <w:r>
        <w:rPr>
          <w:rFonts w:ascii="Arial" w:cs="Arial" w:eastAsia="Arial" w:hAnsi="Arial"/>
          <w:sz w:val="17"/>
          <w:szCs w:val="17"/>
          <w:color w:val="auto"/>
        </w:rPr>
        <w:t>, Fair Value of Financial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 ("PPP Loan")</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Company accounted for its PPP Loan as debt pursuant to Financial Accounting Standards Board ("FASB") Accounting Standards Codification ("ASC") 470, </w:t>
      </w:r>
      <w:r>
        <w:rPr>
          <w:rFonts w:ascii="Arial" w:cs="Arial" w:eastAsia="Arial" w:hAnsi="Arial"/>
          <w:sz w:val="17"/>
          <w:szCs w:val="17"/>
          <w:i w:val="1"/>
          <w:iCs w:val="1"/>
          <w:color w:val="auto"/>
        </w:rPr>
        <w:t>Debt</w:t>
      </w:r>
      <w:r>
        <w:rPr>
          <w:rFonts w:ascii="Arial" w:cs="Arial" w:eastAsia="Arial" w:hAnsi="Arial"/>
          <w:sz w:val="17"/>
          <w:szCs w:val="17"/>
          <w:color w:val="auto"/>
        </w:rPr>
        <w:t>. The forgiveness of the PPP Loan amount during the nine months ended September 30 2021 is reflected as a gain on debt extinguishment in the consolidated statements of income (loss) and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significant estimates include those related to revenue recognition, accounts receivable allowances, share-based payment compensation, valuation of goodwill and other intangible assets, uncertain tax positions and income taxes. Actual results could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September 30, 2022, one customer represented 18% and 37% of the Company’s accounts receivable, respectively.</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concentration of credit risk with respect to trade receivables, the Company's cash on deposit with financial institutions is also exposed to concentration risk. The Company's cash on deposit with financial institutions are insured through various public and private bank deposit insurance programs, foreign and domestic; however, a significant portion of cash balances held as of September 30, 2022 exceed federally insured limits.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financial statements of Silvaco's international subsidiaries with local functional currencies are translated to U.S. dollars upon consolidation. Assets and liabilities are translated at the effective exchange rate on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118" w:right="33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date. Results of operations are translated at average exchange rates, which approximate rates in effect when the underlying transactions occurred. For the nine months ended September 30, 2021 and 2022, the Company recorded foreign currency translation adjustments of $(0.7) million and $(1.3) million, respectively, within accumulated other comprehensive income (loss).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The Company recorded a net foreign exchange loss of $0.1 million and a net foreign exchange gain of $0.7 million for the nine months ended September 30, 2021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loss is composed entirely of foreign currency translation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 (EPS)</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Basic EPS is computed based on the weighted average number of shares of common stock outstanding. Diluted EPS is computed based on the weighted average number of common shares outstanding increased by dilutive common stock equivalents, attributable to RSU grants.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following outstanding securities for the nine months ended September 30, 2021 and 2022 were excluded from the computation of diluted net income (loss) per share because the issuance of such shares is contingent upon the satisfaction of certain conditions which were not satisfied. See </w:t>
      </w:r>
      <w:r>
        <w:rPr>
          <w:rFonts w:ascii="Arial" w:cs="Arial" w:eastAsia="Arial" w:hAnsi="Arial"/>
          <w:sz w:val="17"/>
          <w:szCs w:val="17"/>
          <w:u w:val="single" w:color="auto"/>
          <w:color w:val="0000FF"/>
        </w:rPr>
        <w:t>Note 9</w:t>
      </w:r>
      <w:r>
        <w:rPr>
          <w:rFonts w:ascii="Arial" w:cs="Arial" w:eastAsia="Arial" w:hAnsi="Arial"/>
          <w:sz w:val="17"/>
          <w:szCs w:val="17"/>
          <w:color w:val="000000"/>
        </w:rPr>
        <w:t>, Restricted Stock Units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RSU Grants</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4,115,135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5,198,260</w:t>
            </w:r>
          </w:p>
        </w:tc>
      </w:tr>
      <w:tr>
        <w:trPr>
          <w:trHeight w:val="95"/>
        </w:trPr>
        <w:tc>
          <w:tcPr>
            <w:tcW w:w="8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Subsequent events are events or transactions that occur after the balance sheet date but before consolidated financial statements are issued or are available to be issued. The Company recognizes in the consolidated financial statements the effects of all subsequent events that provide additional evidence about conditions that existed at the date of the balance sheet, including the estimates inherent in the process of preparing the consolidated financial statements. The Company’s consolidated financial statements do not recognize subsequent events that provide evidence about conditions that did not exist at the date of the balance sheet but arose after the balance sheet date and before consolidated financial statements are available to be issued.</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has evaluated subsequent events through December 16, 2022, which is the date the consolidated financial statements were available to be issued.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On January 1, 2022, the Company adopted ASU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 modified retrospective basis, and elected practical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expedients which allowed the Company to account for the lease and non-lease components as a single component for all asset classes. In addition, the Company applied transition elections that allow it to avoid reassessment of whether expired or expiring contracts are or contain leases, the corresponding lease classification, and initial direct costs. Leases with initial terms of 12 months or less are not recognized on the balance sheet, and lease expense is recognized on a straight-line basis. Prior periods have not been restated as a result of the adoption.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The Company determines if an arrangement is a lease at inception. Leases are classified as either operating or finance leases based on certain criteria. This classification determines the timing and presentation of expenses on the income statement, as well as the presentation of the related cash flows and balance sheet. Operating leases with terms greater than 12 months are recorded on the balance sheet as operating lease right-of-use assets, other accrued expenses and liabilities, and long-term operating lease liabilities. The Company currently has no finance leases. See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4</w:t>
      </w:r>
      <w:r>
        <w:rPr>
          <w:rFonts w:ascii="Arial" w:cs="Arial" w:eastAsia="Arial" w:hAnsi="Arial"/>
          <w:sz w:val="17"/>
          <w:szCs w:val="17"/>
          <w:color w:val="000000"/>
        </w:rPr>
        <w:t>, Leases,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240"/>
          </w:cols>
          <w:pgMar w:left="320" w:top="118" w:right="3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Issued and Not Yet Adopted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Financial Instruments - credit losses</w:t>
      </w:r>
      <w:r>
        <w:rPr>
          <w:rFonts w:ascii="Arial" w:cs="Arial" w:eastAsia="Arial" w:hAnsi="Arial"/>
          <w:sz w:val="17"/>
          <w:szCs w:val="17"/>
          <w:color w:val="auto"/>
        </w:rPr>
        <w:t>: In June 2016, the FASB issued ASU 2016-13,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provides guidance regarding the measurement of credit losses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The guidance replaces the incurred loss impairment methodology in the current guidance with a methodology that reflects expected credit losses and requires consideration of a broader range of reasonable and supportable information to determine credit loss estimates. This ASU will be effective for the Company for fiscal periods commencing after December 15, 2022. The Company is in the process of assessing the impact of this ASU on their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Revenue related to stand-alone software applications are generally recognized upon shipment and delivery of license keys. For certain arrangements revenue is recognized based on usage or ratably over the term of the arrangement. Maintenance and service revenue consists of both maintenance revenues and professional services revenues which is recognized based on usage or ratably over the term of the arrangement. Timing of revenue recognition may differ from the timing of invoicing to customers. The Company records a contract asset when revenue is recognized prior to invoicing, an accounts receivable on invoicing or deferred revenue when invoicing precedes revenue recognition.</w:t>
      </w: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For multi-year software licenses, the Company generally invoices customers annually at the beginning of each annual coverage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2021 and September 30, 2022, accounts receivable, net of allowance for doubtful accounts, was $4.5 million and $9.1 million, respectively. The Company's allowance for doubtful accounts on accounts receivable was $0.3 million and $0.3 million as of December 31, 2021 and September 30,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September 30, 2022, contract assets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8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193"/>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4"/>
          </w:tcPr>
          <w:p>
            <w:pPr>
              <w:jc w:val="right"/>
              <w:ind w:right="1040"/>
              <w:spacing w:after="0"/>
              <w:rPr>
                <w:sz w:val="20"/>
                <w:szCs w:val="20"/>
                <w:color w:val="auto"/>
              </w:rPr>
            </w:pPr>
            <w:r>
              <w:rPr>
                <w:rFonts w:ascii="Arial" w:cs="Arial" w:eastAsia="Arial" w:hAnsi="Arial"/>
                <w:sz w:val="14"/>
                <w:szCs w:val="14"/>
                <w:i w:val="1"/>
                <w:iCs w:val="1"/>
                <w:color w:val="auto"/>
              </w:rPr>
              <w:t>(in thousands)</w:t>
            </w:r>
          </w:p>
        </w:tc>
      </w:tr>
      <w:tr>
        <w:trPr>
          <w:trHeight w:val="23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portion of contract assets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6,977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7,777</w:t>
            </w:r>
          </w:p>
        </w:tc>
      </w:tr>
      <w:tr>
        <w:trPr>
          <w:trHeight w:val="22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portion of contract assets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2,465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2,295</w:t>
            </w:r>
          </w:p>
        </w:tc>
      </w:tr>
      <w:tr>
        <w:trPr>
          <w:trHeight w:val="250"/>
        </w:trPr>
        <w:tc>
          <w:tcPr>
            <w:tcW w:w="8100" w:type="dxa"/>
            <w:vAlign w:val="bottom"/>
            <w:tcBorders>
              <w:bottom w:val="single" w:sz="8" w:color="CCEEFF"/>
            </w:tcBorders>
            <w:shd w:val="clear" w:color="auto" w:fill="CCEEFF"/>
          </w:tcPr>
          <w:p>
            <w:pPr>
              <w:ind w:left="6280"/>
              <w:spacing w:after="0"/>
              <w:rPr>
                <w:sz w:val="20"/>
                <w:szCs w:val="20"/>
                <w:color w:val="auto"/>
              </w:rPr>
            </w:pPr>
            <w:r>
              <w:rPr>
                <w:rFonts w:ascii="Arial" w:cs="Arial" w:eastAsia="Arial" w:hAnsi="Arial"/>
                <w:sz w:val="17"/>
                <w:szCs w:val="17"/>
                <w:b w:val="1"/>
                <w:bCs w:val="1"/>
                <w:color w:val="auto"/>
              </w:rPr>
              <w:t>Total contract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does not maintain an allowance for doubtful accounts for estimated losses with respect to its contract asset portfolio as there is not any historical evidence or current indicators of impairments or write-offs on contract assets. The Company does not have any off-balance-sheet credit exposure related to its customers, and there have not been any write-offs against the Company’s contract asset portfolio for the periods presented.</w:t>
      </w:r>
    </w:p>
    <w:p>
      <w:pPr>
        <w:spacing w:after="0" w:line="3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allowances for doubtful accounts reflect the Company’s best estimates of probable losses inherent in the accounts receivable and contract assets’ balances. The Company determines the allowances based on known troubled accounts, historical experience, and other currently available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2022, approximately $21.7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installment billings for periods beyond the current billing cycle. The Company expects to recognize revenue on approximately 53% of these remaining performance obligations over the next 12 months, with the balance recognized thereafter.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Deferred revenue is comprised mainly of unearned revenue related to maintenance and service on software licenses and pending software license deliveries. Maintenance and service revenue is recognized ratably over the coverage period. Software license revenue is recognized upfront upon delivery of the licensed software. Deferred revenue also includes contracts for professional services to be performed in the future which are recognized as revenue when the company delivers the related service pursuant to the terms of the customer arrangement.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deferred revenue as of December 31, 2021 and September 30, 2022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193"/>
        </w:trPr>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4"/>
          </w:tcPr>
          <w:p>
            <w:pPr>
              <w:jc w:val="right"/>
              <w:ind w:right="1040"/>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portion of deferred revenue</w:t>
            </w: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5,415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7,025</w:t>
            </w:r>
          </w:p>
        </w:tc>
      </w:tr>
      <w:tr>
        <w:trPr>
          <w:trHeight w:val="22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portion of deferred revenue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3,541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3,509</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80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recognized revenue of $6.0 million during the nine month period ended September 30, 2022 that was included in the total deferred revenue balance at December 31, 2021. All other activity in deferred revenue is due to the timing of invoices in relation to the timing of revenue during the nine months ending September 30, 2022 as described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8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The Company recognizes a right-of-use asset and lease liability for its operating leases at the commencement date equal to the present value of the contractual minimum lease payments over the lease term. The present value is calculated using the Company’s incremental secured borrowing rate. The discount rate used for operating leases is primarily determined based on an analysis the Company’s incremental secured borrowing rate. The related lease payments are expensed on a straight-line basis over the lease term, including, as applicable, any free-rent period during which the Company has the right to use the asset.</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headquarters are located in Santa Clara, California, where the Company has an operating lease covering its corporate office expiring in March of 2025. The Company also has operating leases throughout the United States in Georgia, Texas and Massachusetts, and abroad, in Japan, France, China, the United Kingdom, and Korea, among other countries. The expiration dates for these operating leases range from 2022 through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118" w:right="3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the Company’s operating lease right-of-use assets and operating lease liabilities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of September 30,</w:t>
            </w:r>
          </w:p>
        </w:tc>
      </w:tr>
      <w:tr>
        <w:trPr>
          <w:trHeight w:val="189"/>
        </w:trPr>
        <w:tc>
          <w:tcPr>
            <w:tcW w:w="9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2022</w:t>
            </w:r>
          </w:p>
        </w:tc>
      </w:tr>
      <w:tr>
        <w:trPr>
          <w:trHeight w:val="192"/>
        </w:trPr>
        <w:tc>
          <w:tcPr>
            <w:tcW w:w="9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w:t>
            </w:r>
          </w:p>
        </w:tc>
      </w:tr>
      <w:tr>
        <w:trPr>
          <w:trHeight w:val="227"/>
        </w:trPr>
        <w:tc>
          <w:tcPr>
            <w:tcW w:w="9740" w:type="dxa"/>
            <w:vAlign w:val="bottom"/>
          </w:tcPr>
          <w:p>
            <w:pPr>
              <w:ind w:left="20"/>
              <w:spacing w:after="0"/>
              <w:rPr>
                <w:sz w:val="20"/>
                <w:szCs w:val="20"/>
                <w:color w:val="auto"/>
              </w:rPr>
            </w:pPr>
            <w:r>
              <w:rPr>
                <w:rFonts w:ascii="Arial" w:cs="Arial" w:eastAsia="Arial" w:hAnsi="Arial"/>
                <w:sz w:val="17"/>
                <w:szCs w:val="17"/>
                <w:color w:val="auto"/>
              </w:rPr>
              <w:t>Operating lease liabilities, current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933</w:t>
            </w:r>
          </w:p>
        </w:tc>
      </w:tr>
      <w:tr>
        <w:trPr>
          <w:trHeight w:val="232"/>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r>
      <w:tr>
        <w:trPr>
          <w:trHeight w:val="459"/>
        </w:trPr>
        <w:tc>
          <w:tcPr>
            <w:tcW w:w="9740" w:type="dxa"/>
            <w:vAlign w:val="bottom"/>
          </w:tcPr>
          <w:p>
            <w:pPr>
              <w:spacing w:after="0"/>
              <w:rPr>
                <w:sz w:val="20"/>
                <w:szCs w:val="20"/>
                <w:color w:val="auto"/>
              </w:rPr>
            </w:pPr>
            <w:r>
              <w:rPr>
                <w:rFonts w:ascii="Arial" w:cs="Arial" w:eastAsia="Arial" w:hAnsi="Arial"/>
                <w:sz w:val="17"/>
                <w:szCs w:val="17"/>
                <w:color w:val="auto"/>
              </w:rPr>
              <w:t>The components of operating lease cost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97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r>
      <w:tr>
        <w:trPr>
          <w:trHeight w:val="194"/>
        </w:trPr>
        <w:tc>
          <w:tcPr>
            <w:tcW w:w="97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9740" w:type="dxa"/>
            <w:vAlign w:val="bottom"/>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 2022</w:t>
            </w:r>
          </w:p>
        </w:tc>
      </w:tr>
      <w:tr>
        <w:trPr>
          <w:trHeight w:val="193"/>
        </w:trPr>
        <w:tc>
          <w:tcPr>
            <w:tcW w:w="9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r>
      <w:tr>
        <w:trPr>
          <w:trHeight w:val="230"/>
        </w:trPr>
        <w:tc>
          <w:tcPr>
            <w:tcW w:w="974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7"/>
                <w:szCs w:val="17"/>
                <w:color w:val="auto"/>
              </w:rPr>
              <w:t>Variable lease cost</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1,094</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9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Variable lease cost includes common area maintenance, utilities, security, insurance and property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related to the Company’s operating leases for the nine months ended September 30, 2022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781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7"/>
                <w:szCs w:val="17"/>
                <w:color w:val="auto"/>
              </w:rPr>
              <w:t>Operating lease liability arising from adoption of ASC 842</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7"/>
                <w:szCs w:val="17"/>
                <w:color w:val="auto"/>
              </w:rPr>
              <w:t>2,807</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remaining lease term (in years)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7"/>
                <w:szCs w:val="17"/>
                <w:color w:val="auto"/>
              </w:rPr>
              <w:t>Weighted average discount rate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4.21 %</w:t>
            </w:r>
          </w:p>
        </w:tc>
        <w:tc>
          <w:tcPr>
            <w:tcW w:w="0" w:type="dxa"/>
            <w:vAlign w:val="bottom"/>
          </w:tcPr>
          <w:p>
            <w:pPr>
              <w:spacing w:after="0"/>
              <w:rPr>
                <w:sz w:val="1"/>
                <w:szCs w:val="1"/>
                <w:color w:val="auto"/>
              </w:rPr>
            </w:pPr>
          </w:p>
        </w:tc>
      </w:tr>
      <w:tr>
        <w:trPr>
          <w:trHeight w:val="464"/>
        </w:trPr>
        <w:tc>
          <w:tcPr>
            <w:tcW w:w="9600" w:type="dxa"/>
            <w:vAlign w:val="bottom"/>
            <w:gridSpan w:val="3"/>
          </w:tcPr>
          <w:p>
            <w:pPr>
              <w:spacing w:after="0"/>
              <w:rPr>
                <w:sz w:val="20"/>
                <w:szCs w:val="20"/>
                <w:color w:val="auto"/>
              </w:rPr>
            </w:pPr>
            <w:r>
              <w:rPr>
                <w:rFonts w:ascii="Arial" w:cs="Arial" w:eastAsia="Arial" w:hAnsi="Arial"/>
                <w:sz w:val="17"/>
                <w:szCs w:val="17"/>
                <w:color w:val="auto"/>
              </w:rPr>
              <w:t>As of September 30, 2022 maturities of operating lease liabilities were as follows: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7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580" w:type="dxa"/>
            <w:vAlign w:val="bottom"/>
            <w:gridSpan w:val="2"/>
          </w:tcPr>
          <w:p>
            <w:pPr>
              <w:spacing w:after="0" w:line="155" w:lineRule="exact"/>
              <w:rPr>
                <w:sz w:val="20"/>
                <w:szCs w:val="20"/>
                <w:color w:val="auto"/>
              </w:rPr>
            </w:pPr>
            <w:r>
              <w:rPr>
                <w:rFonts w:ascii="Arial" w:cs="Arial" w:eastAsia="Arial" w:hAnsi="Arial"/>
                <w:sz w:val="17"/>
                <w:szCs w:val="17"/>
                <w:b w:val="1"/>
                <w:bCs w:val="1"/>
                <w:color w:val="auto"/>
              </w:rPr>
              <w:t>Year Ending December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397"/>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17"/>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2022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27"/>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2023</w:t>
            </w: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3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27"/>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7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3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7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95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Less: imputed interest</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958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Current portion of lease liability</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958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Non-current portion of lease liability</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1,481</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the nine months ended September 30, 2022 was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9540" w:firstLine="8"/>
        <w:spacing w:after="0" w:line="356" w:lineRule="auto"/>
        <w:tabs>
          <w:tab w:leader="none" w:pos="2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7"/>
          <w:szCs w:val="17"/>
          <w:b w:val="1"/>
          <w:bCs w:val="1"/>
          <w:i w:val="1"/>
          <w:iCs w:val="1"/>
          <w:u w:val="single" w:color="auto"/>
          <w:color w:val="auto"/>
        </w:rPr>
        <w:t>PolytEDA Cloud LLC</w:t>
      </w:r>
    </w:p>
    <w:p>
      <w:pPr>
        <w:spacing w:after="0" w:line="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January 15, 2021 the Company completed the acquisition of physical verification solution and cloud enablement provider PolytEDA Cloud LLC ("PolytEDA "). The acquisition of PolytEDA, a Ukraine-based company, expands Silvaco’s capabilities for rapid physical verification of IC designs prior to mask creation and manufacturing and for cloud enablement of EDA tools.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total consideration transferred was of $1.9 million, which consisted of $1.0 million in cash at closing and the estimated fair value of $0.9 million in contingent consideration to be paid out over four years based on PolytEDA's technical achievement and projected operating income through January 2025.</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Pursuant to the stock purchase agreement for the acquisition of PolytEDA, the selling shareholders are entitled to milestone consideration of up to an aggregate total of $1.0 million based upon PolytEDA's technical achievement during 2021 and 2022, in addition to earn-out consideration over a three-year period beginning on the second year following the closing of the acquisition through January 2025. The earn-out does not have a minimum and is based on 20% of the operating income generated by PolytEDA on a quarterly basis, subject to an initial hold-back or payout from a working capital adjustment from the close of the acquisition.</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milestone consideration and earn-out are liabilities classified as contingent consideration as the obligations are due in cash. As such the obligations are recorded at their fair value and re-valued period to period with any changes recorded to operating income (expense). See also, </w:t>
      </w:r>
      <w:r>
        <w:rPr>
          <w:rFonts w:ascii="Arial" w:cs="Arial" w:eastAsia="Arial" w:hAnsi="Arial"/>
          <w:sz w:val="17"/>
          <w:szCs w:val="17"/>
          <w:u w:val="single" w:color="auto"/>
          <w:color w:val="0000FF"/>
        </w:rPr>
        <w:t>Note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13</w:t>
      </w:r>
      <w:r>
        <w:rPr>
          <w:rFonts w:ascii="Arial" w:cs="Arial" w:eastAsia="Arial" w:hAnsi="Arial"/>
          <w:sz w:val="17"/>
          <w:szCs w:val="17"/>
          <w:color w:val="000000"/>
        </w:rPr>
        <w:t>, Fair Value of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assets acquired and liabilities assumed in the PolytEDA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3"/>
          </w:tcPr>
          <w:p>
            <w:pPr>
              <w:jc w:val="center"/>
              <w:ind w:right="215"/>
              <w:spacing w:after="0"/>
              <w:rPr>
                <w:sz w:val="20"/>
                <w:szCs w:val="20"/>
                <w:color w:val="auto"/>
              </w:rPr>
            </w:pPr>
            <w:r>
              <w:rPr>
                <w:rFonts w:ascii="Arial" w:cs="Arial" w:eastAsia="Arial" w:hAnsi="Arial"/>
                <w:sz w:val="14"/>
                <w:szCs w:val="14"/>
                <w:b w:val="1"/>
                <w:bCs w:val="1"/>
                <w:color w:val="auto"/>
              </w:rPr>
              <w:t>Weighted Average</w:t>
            </w: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1820" w:type="dxa"/>
            <w:vAlign w:val="bottom"/>
            <w:gridSpan w:val="3"/>
          </w:tcPr>
          <w:p>
            <w:pPr>
              <w:jc w:val="center"/>
              <w:ind w:right="215"/>
              <w:spacing w:after="0" w:line="145" w:lineRule="exact"/>
              <w:rPr>
                <w:sz w:val="20"/>
                <w:szCs w:val="20"/>
                <w:color w:val="auto"/>
              </w:rPr>
            </w:pPr>
            <w:r>
              <w:rPr>
                <w:rFonts w:ascii="Arial" w:cs="Arial" w:eastAsia="Arial" w:hAnsi="Arial"/>
                <w:sz w:val="14"/>
                <w:szCs w:val="14"/>
                <w:b w:val="1"/>
                <w:bCs w:val="1"/>
                <w:color w:val="auto"/>
              </w:rPr>
              <w:t>Amortization Period</w:t>
            </w:r>
          </w:p>
        </w:tc>
        <w:tc>
          <w:tcPr>
            <w:tcW w:w="132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8100" w:type="dxa"/>
            <w:vAlign w:val="bottom"/>
            <w:gridSpan w:val="2"/>
            <w:vMerge w:val="continue"/>
          </w:tcPr>
          <w:p>
            <w:pPr>
              <w:spacing w:after="0"/>
              <w:rPr>
                <w:sz w:val="16"/>
                <w:szCs w:val="16"/>
                <w:color w:val="auto"/>
              </w:rPr>
            </w:pPr>
          </w:p>
        </w:tc>
        <w:tc>
          <w:tcPr>
            <w:tcW w:w="182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rPr>
              <w:t>(Years)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8"/>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2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52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27"/>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23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tax liability</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assets acquired and liabilities assumed</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developed technology was determined under a discounted cash flow model through application of the Income Approach, using the Multi-Period Earnings Method. The fair value of customer relationships was derived through a discounted cash flow model under two scenarios. The first scenario relied on a forecast which assumed commercial customers are in place. The second scenario drew from a forecast which assumed that customer relationships would need to be developed over a four year period.</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believes that significant synergies are expected to arise from the acquisition of PolytEDA which resulted in goodwill, as the purchase price exceeded the net fair value of the acquired assets and assumed liabilities as part of the stock purchase agreement. The fair value of goodwill associated with the PolytEDA acquisition is not tax deductible for income tax purposes.</w:t>
      </w:r>
    </w:p>
    <w:p>
      <w:pPr>
        <w:spacing w:after="0" w:line="13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During the nine months ended September 30, 2021, the Company incurred $23.5 thousand in acquisition-related expenses, recognized as selling, general and administrative expense on the consolidated statements of income.</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operating results of PolytEDA have been included in the Company's consolidated financial statements since the date of acquisition, and the effects of the business combination were not material to the Company's consolidated results of operations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240"/>
          </w:cols>
          <w:pgMar w:left="320" w:top="118" w:right="3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Goodwill and intangible assets are reviewed for impairment whenever events or changes in circumstances indicate an asset’s carrying value may not be recoverable. In connection with Russia’s invasion of Ukraine in February 2022, the Company recorded an impairment charge of $0.6 million to reduce the carrying value of $0.3 million of developed technology and $0.3 million of customer relationships associated with the Company’s Ukrainian subsidiary which management determined would not be recoverable.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goodwill during the nine months ended September 30, 2022.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intangible assets were classified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2021</w:t>
            </w: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Accumulated</w:t>
            </w:r>
          </w:p>
        </w:tc>
        <w:tc>
          <w:tcPr>
            <w:tcW w:w="15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5"/>
        </w:trPr>
        <w:tc>
          <w:tcPr>
            <w:tcW w:w="498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Period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(4,340)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1,644</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intangible assets were classified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2022</w:t>
            </w:r>
          </w:p>
        </w:tc>
        <w:tc>
          <w:tcPr>
            <w:tcW w:w="6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Accumulated</w:t>
            </w:r>
          </w:p>
        </w:tc>
        <w:tc>
          <w:tcPr>
            <w:tcW w:w="15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Net Carrying Value</w:t>
            </w:r>
          </w:p>
        </w:tc>
        <w:tc>
          <w:tcPr>
            <w:tcW w:w="0" w:type="dxa"/>
            <w:vAlign w:val="bottom"/>
          </w:tcPr>
          <w:p>
            <w:pPr>
              <w:spacing w:after="0"/>
              <w:rPr>
                <w:sz w:val="1"/>
                <w:szCs w:val="1"/>
                <w:color w:val="auto"/>
              </w:rPr>
            </w:pPr>
          </w:p>
        </w:tc>
      </w:tr>
      <w:tr>
        <w:trPr>
          <w:trHeight w:val="185"/>
        </w:trPr>
        <w:tc>
          <w:tcPr>
            <w:tcW w:w="498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 Period</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8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7"/>
                <w:szCs w:val="17"/>
                <w:i w:val="1"/>
                <w:iCs w:val="1"/>
                <w:color w:val="auto"/>
              </w:rPr>
              <w:t>(in thousands)</w:t>
            </w:r>
          </w:p>
        </w:tc>
        <w:tc>
          <w:tcPr>
            <w:tcW w:w="6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(2,173)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Total intangible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(4,473)</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752</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9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Amortization expense for the intangible assets was $0.6 million and $0.2 million for the nine months ended September 30, 2021 and 2022,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estimated future amortization expense for the intangible assets reflected above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5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03"/>
        </w:trPr>
        <w:tc>
          <w:tcPr>
            <w:tcW w:w="9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Amount</w:t>
            </w:r>
          </w:p>
        </w:tc>
      </w:tr>
      <w:tr>
        <w:trPr>
          <w:trHeight w:val="193"/>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1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9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7"/>
        </w:trPr>
        <w:tc>
          <w:tcPr>
            <w:tcW w:w="9540" w:type="dxa"/>
            <w:vAlign w:val="bottom"/>
          </w:tcPr>
          <w:p>
            <w:pPr>
              <w:ind w:left="20"/>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338</w:t>
            </w:r>
          </w:p>
        </w:tc>
      </w:tr>
      <w:tr>
        <w:trPr>
          <w:trHeight w:val="232"/>
        </w:trPr>
        <w:tc>
          <w:tcPr>
            <w:tcW w:w="9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2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net carrying value of intangible assets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752</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9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240"/>
          </w:cols>
          <w:pgMar w:left="320" w:top="118"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December 31, 2020, Silvaco had notes payable to Kipee International ("Kipee") with a total balance owed of $0.5 million and notes receivable from New Horizons (Cambridge) LTD (“NHC”) of GBP $0.7 million, or $0.9 million, and New Horizons France (“NHF”) of $1.5 million. Each of Kipee, NHC and NHF are real estate entities owned and controlled by the Company's sole stockholder as of December 31, 2020. The Company's Director of Global Sales Operations also serves as director of NHC. The notes payable to Kipee and the notes receivable from NHC and NHF were settled in September 2021, with the Company's sole stockholder paying Silvaco, $0.2 million which represents the net balance remaining after settlement of both the Kipee notes and the NHC and NHF notes.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its notes receivable the Company has two international office leases with NHC and NHF in Cambridgeshire, England and Grenoble, France, respectively, and through September of 2021, the Company leased office space from Kipee in Austin, Texas. In connection with these lease arrangements, the Company recorded rent expense of $0.3 million and $0.2 million during the nine months ended September 30, 2021 and 2022, respectively.</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December 8, 2021, Silvaco entered a promissory note with the Company's founding principal stockholder for $0.5 million ("Promissory Note") bearing an interest rate of 3.25% payable and due on July 1, 2022. As of December 31, 2021, the balance due on the Promissory Note, including accrued interest, was $0.5 million. The Promissory Note was repaid in full in July 2022.</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March 30, 2022, Silvaco entered a second related party note payable to the Company's founding principal stockholder for $0.5 million (“March 2022 Note”) bearing interest at 3.25% payable and due on March 30, 2023. As of September 30, 2022, the balance due on the March 2022 Note, including accrued interest, was $0.5 million.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May 1, 2022, the Company entered into a commercial lease agreement with Kipee, a related party, for Silvaco's new corporate office at 4701 Patrick Henry Drive in Santa Clara, California. In connection with this lease arrangement, the Company recorded rent expense of $0.1 million during the nine months ended September 30, 2022. The Company's right-of-use asset and operating lease liability under this three year arrangement, which commenced on May 1, 2022 and expires on March 31, 2025, is $0.5 million as of September 30, 2022. The short term and long term components of the Company’s operating lease liability for this commercial office lease are $0.2 million and $0.3 million, respectively.</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13, 2022, Silvaco entered into a $4.0 million line of credit with the Company's founding principal stockholder bearing interest at a rate of prime plus 1% per annum. The Company has drawn $2.0 million on this line of credit as of September 30, 2022. As of September 30, 2022, the balance of this line of credit was $2.0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30, 2020, the Company entered into a loan with Bank of the West in an aggregate principal amount of $2.3 million pursuant to the PPP Loan under the Coronavirus Aid, Relief, and Economic Security Act (the "CARES Act"). The PPP Loan was evidenced by a promissory note, dated May 7, 2020, maturing two years from the disbursement date, bearing interest at a rate of 1.0% per annum, with the first six months of interest deferred. The PPP Loan was subject to forgiveness to the extent proceeds were used pursuant to the terms and limitations of the PPP Loan. On June 29, 2021, the PPP Loan was forgiven. The forgiveness of the PPP Loan amount during 2021 is reflected as a gain on debt extinguishment in the consolidated statements of income (loss) and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Restricted Stock Units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Silvaco has 8 million shares of common stock reserved for RSU grants. Since 2014, the Company has issued RSUs to employees, directors, and advisors, pursuant to its 2014 Plan. The RSUs generally have two vesting requirements, a time and service-based requirement (the “Time-Based Requirement”) and a “Liquidity Event Requirement.”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service requirement satisfied on the grant date. The Liquidity Event Requirement requires the completion of an underwritten initial public offering or a change of control, as defined in the Company's 2014 Plan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240"/>
          </w:cols>
          <w:pgMar w:left="320" w:top="118" w:right="3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RSU activity for the nine months ended September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3"/>
          </w:tcPr>
          <w:p>
            <w:pPr>
              <w:jc w:val="right"/>
              <w:ind w:right="778"/>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Restricted Stock Units</w:t>
            </w:r>
          </w:p>
        </w:tc>
        <w:tc>
          <w:tcPr>
            <w:tcW w:w="14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Remaining Contract</w:t>
            </w:r>
          </w:p>
        </w:tc>
        <w:tc>
          <w:tcPr>
            <w:tcW w:w="13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Granted</w:t>
            </w:r>
          </w:p>
        </w:tc>
        <w:tc>
          <w:tcPr>
            <w:tcW w:w="10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Time Vested</w:t>
            </w:r>
          </w:p>
        </w:tc>
        <w:tc>
          <w:tcPr>
            <w:tcW w:w="14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Time Unvested</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Term</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4,286,919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2,458,419</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1,828,500</w:t>
            </w:r>
          </w:p>
        </w:tc>
        <w:tc>
          <w:tcPr>
            <w:tcW w:w="0" w:type="dxa"/>
            <w:vAlign w:val="bottom"/>
          </w:tcPr>
          <w:p>
            <w:pPr>
              <w:spacing w:after="0"/>
              <w:rPr>
                <w:sz w:val="1"/>
                <w:szCs w:val="1"/>
                <w:color w:val="auto"/>
              </w:rPr>
            </w:pPr>
          </w:p>
        </w:tc>
      </w:tr>
      <w:tr>
        <w:trPr>
          <w:trHeight w:val="227"/>
        </w:trPr>
        <w:tc>
          <w:tcPr>
            <w:tcW w:w="3840" w:type="dxa"/>
            <w:vAlign w:val="bottom"/>
          </w:tcPr>
          <w:p>
            <w:pPr>
              <w:ind w:left="240"/>
              <w:spacing w:after="0"/>
              <w:rPr>
                <w:sz w:val="20"/>
                <w:szCs w:val="20"/>
                <w:color w:val="auto"/>
              </w:rPr>
            </w:pPr>
            <w:r>
              <w:rPr>
                <w:rFonts w:ascii="Arial" w:cs="Arial" w:eastAsia="Arial" w:hAnsi="Arial"/>
                <w:sz w:val="17"/>
                <w:szCs w:val="17"/>
                <w:color w:val="auto"/>
              </w:rPr>
              <w:t>Granted in 2022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1,246,250</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1,246,250</w:t>
            </w: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Vested</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442,297</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(442,297)</w:t>
            </w:r>
          </w:p>
        </w:tc>
        <w:tc>
          <w:tcPr>
            <w:tcW w:w="0" w:type="dxa"/>
            <w:vAlign w:val="bottom"/>
          </w:tcPr>
          <w:p>
            <w:pPr>
              <w:spacing w:after="0"/>
              <w:rPr>
                <w:sz w:val="1"/>
                <w:szCs w:val="1"/>
                <w:color w:val="auto"/>
              </w:rPr>
            </w:pPr>
          </w:p>
        </w:tc>
      </w:tr>
      <w:tr>
        <w:trPr>
          <w:trHeight w:val="227"/>
        </w:trPr>
        <w:tc>
          <w:tcPr>
            <w:tcW w:w="3840" w:type="dxa"/>
            <w:vAlign w:val="bottom"/>
          </w:tcPr>
          <w:p>
            <w:pPr>
              <w:ind w:left="240"/>
              <w:spacing w:after="0"/>
              <w:rPr>
                <w:sz w:val="20"/>
                <w:szCs w:val="20"/>
                <w:color w:val="auto"/>
              </w:rPr>
            </w:pPr>
            <w:r>
              <w:rPr>
                <w:rFonts w:ascii="Arial" w:cs="Arial" w:eastAsia="Arial" w:hAnsi="Arial"/>
                <w:sz w:val="17"/>
                <w:szCs w:val="17"/>
                <w:color w:val="auto"/>
              </w:rPr>
              <w:t>Forfeited / canceled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7.65</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(334,909)</w:t>
            </w:r>
          </w:p>
        </w:tc>
        <w:tc>
          <w:tcPr>
            <w:tcW w:w="1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(334,909)</w:t>
            </w:r>
          </w:p>
        </w:tc>
        <w:tc>
          <w:tcPr>
            <w:tcW w:w="0" w:type="dxa"/>
            <w:vAlign w:val="bottom"/>
          </w:tcPr>
          <w:p>
            <w:pPr>
              <w:spacing w:after="0"/>
              <w:rPr>
                <w:sz w:val="1"/>
                <w:szCs w:val="1"/>
                <w:color w:val="auto"/>
              </w:rPr>
            </w:pPr>
          </w:p>
        </w:tc>
      </w:tr>
      <w:tr>
        <w:trPr>
          <w:trHeight w:val="290"/>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September 30, 2022</w:t>
            </w:r>
          </w:p>
        </w:tc>
        <w:tc>
          <w:tcPr>
            <w:tcW w:w="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5,198,260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2,900,716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2,297,544</w:t>
            </w:r>
          </w:p>
        </w:tc>
        <w:tc>
          <w:tcPr>
            <w:tcW w:w="0" w:type="dxa"/>
            <w:vAlign w:val="bottom"/>
          </w:tcPr>
          <w:p>
            <w:pPr>
              <w:spacing w:after="0"/>
              <w:rPr>
                <w:sz w:val="1"/>
                <w:szCs w:val="1"/>
                <w:color w:val="auto"/>
              </w:rPr>
            </w:pPr>
          </w:p>
        </w:tc>
      </w:tr>
      <w:tr>
        <w:trPr>
          <w:trHeight w:val="41"/>
        </w:trPr>
        <w:tc>
          <w:tcPr>
            <w:tcW w:w="384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grant date fair value of the RSU awards was based on the Probability-Weighted Expected Return Method, which assessed the value of the Company’s equity based on an analysis of future enterprise values under two IPO scenarios, one “Early” and one “Late”, as well as a "Stay Private" scenario. The estimated value of the common stock in each scenario was then probability-weighted based on inputs provided by management regarding the likelihood of each scenario as of the valuation date.</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Consistent with prevailing accounting guidance, the Company has not recorded share-based compensation expense for the RSUs, due to the Liquidity Event Requirement. The Company has valued the unrecorded share-based compensation expense, using historical estimates of the fair value of the Company's common stock.</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September 30, 2022 the Company had granted 5,198,260 RSUs and had $15.3 million in deferred share-based compensation expense, of which 2,900,716 RSUs and $6.5 million represents awards that have met the Time-Based Requirement, and the remaining 2,297,544 RSUs and $8.8 million represent awards that have not met this requirement.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provision for income taxes consists principally of state and local, and foreign taxes, as applicable, in amounts necessary to align the Company’s year-to-date tax provision with the effective rate that it expects to achieve for the full year.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nine months ended September 30, 2021 and 2022, the Company recorded an income tax provision of $0.3 million and $0.6 million, respectively. The effective tax rate for the nine months ended September 30, 2021 and 2022 was (82)% and (217)%, respectively. The effective tax rate differed from the statutory rate of 21% due to the mix of foreign and domestic earnings, foreign withholding taxes and the application of valuation allowances. As of September 30, 2021 and 2022, the Company’s conclusion did not change with respect to the realizability of its domestic deferred tax assets and therefore, the Company had not recorded any income tax assets as such amounts are fully offset with a valuation allowance.</w:t>
      </w:r>
    </w:p>
    <w:p>
      <w:pPr>
        <w:spacing w:after="0" w:line="3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recognizes the financial statement effects of uncertain tax positions when it is more-likely-than-not, based on the technical merits of the position, that it will be sustained upon examination. The Company includes interest and penalties related to unrecognized tax benefits within the provision of income tax. To date, there have been no significant changes in relation to the unrecognized tax benefits.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 and Geographical Concentration</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reviews revenues of the Company's operating segments for performance evaluation and resource allocation among these three solution offerings. The Company's operating segments have been aggregated into one reportable segment, as they are similar in the nature of services, production process, and distribution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single reportable segment recorded customer revenue from the following geographical areas for the nine months ended September 30, 2021 and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bottom w:val="single" w:sz="8" w:color="auto"/>
            </w:tcBorders>
          </w:tcPr>
          <w:p>
            <w:pPr>
              <w:spacing w:after="0"/>
              <w:rPr>
                <w:sz w:val="18"/>
                <w:szCs w:val="18"/>
                <w:color w:val="auto"/>
              </w:rPr>
            </w:pPr>
          </w:p>
        </w:tc>
      </w:tr>
      <w:tr>
        <w:trPr>
          <w:trHeight w:val="197"/>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Region</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197"/>
        </w:trPr>
        <w:tc>
          <w:tcPr>
            <w:tcW w:w="8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shd w:val="clear" w:color="auto" w:fill="CCEEFF"/>
          </w:tcPr>
          <w:p>
            <w:pPr>
              <w:spacing w:after="0"/>
              <w:rPr>
                <w:sz w:val="17"/>
                <w:szCs w:val="17"/>
                <w:color w:val="auto"/>
              </w:rPr>
            </w:pPr>
          </w:p>
        </w:tc>
      </w:tr>
      <w:tr>
        <w:trPr>
          <w:trHeight w:val="227"/>
        </w:trPr>
        <w:tc>
          <w:tcPr>
            <w:tcW w:w="8060" w:type="dxa"/>
            <w:vAlign w:val="bottom"/>
          </w:tcPr>
          <w:p>
            <w:pPr>
              <w:ind w:left="20"/>
              <w:spacing w:after="0"/>
              <w:rPr>
                <w:sz w:val="20"/>
                <w:szCs w:val="20"/>
                <w:color w:val="auto"/>
              </w:rPr>
            </w:pPr>
            <w:r>
              <w:rPr>
                <w:rFonts w:ascii="Arial" w:cs="Arial" w:eastAsia="Arial" w:hAnsi="Arial"/>
                <w:sz w:val="17"/>
                <w:szCs w:val="17"/>
                <w:color w:val="auto"/>
              </w:rPr>
              <w:t>Asia</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19,154</w:t>
            </w:r>
          </w:p>
        </w:tc>
        <w:tc>
          <w:tcPr>
            <w:tcW w:w="80" w:type="dxa"/>
            <w:vAlign w:val="bottom"/>
          </w:tcPr>
          <w:p>
            <w:pPr>
              <w:spacing w:after="0"/>
              <w:rPr>
                <w:sz w:val="19"/>
                <w:szCs w:val="19"/>
                <w:color w:val="auto"/>
              </w:rPr>
            </w:pP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21,099</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9,303</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12,899</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Europe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2,675</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31,104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36,673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8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manages its assets on a total company basis, not by operating segment. Therefore, the chief operating decision maker does not regularly review any asset information by operating segment and, accordingly, asset information is not reported by operating segment.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property and equipment by region as of December 31, 2021 and September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September 30,</w:t>
            </w:r>
          </w:p>
        </w:tc>
      </w:tr>
      <w:tr>
        <w:trPr>
          <w:trHeight w:val="19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Region</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197"/>
        </w:trPr>
        <w:tc>
          <w:tcPr>
            <w:tcW w:w="8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40" w:type="dxa"/>
            <w:vAlign w:val="bottom"/>
            <w:gridSpan w:val="4"/>
            <w:shd w:val="clear" w:color="auto" w:fill="CCEEFF"/>
          </w:tcPr>
          <w:p>
            <w:pPr>
              <w:jc w:val="right"/>
              <w:ind w:right="1039"/>
              <w:spacing w:after="0"/>
              <w:rPr>
                <w:sz w:val="20"/>
                <w:szCs w:val="20"/>
                <w:color w:val="auto"/>
              </w:rPr>
            </w:pPr>
            <w:r>
              <w:rPr>
                <w:rFonts w:ascii="Arial" w:cs="Arial" w:eastAsia="Arial" w:hAnsi="Arial"/>
                <w:sz w:val="14"/>
                <w:szCs w:val="14"/>
                <w:i w:val="1"/>
                <w:iCs w:val="1"/>
                <w:color w:val="auto"/>
              </w:rPr>
              <w:t>(in thousands)</w:t>
            </w:r>
          </w:p>
        </w:tc>
      </w:tr>
      <w:tr>
        <w:trPr>
          <w:trHeight w:val="227"/>
        </w:trPr>
        <w:tc>
          <w:tcPr>
            <w:tcW w:w="8100" w:type="dxa"/>
            <w:vAlign w:val="bottom"/>
          </w:tcPr>
          <w:p>
            <w:pPr>
              <w:ind w:left="20"/>
              <w:spacing w:after="0"/>
              <w:rPr>
                <w:sz w:val="20"/>
                <w:szCs w:val="20"/>
                <w:color w:val="auto"/>
              </w:rPr>
            </w:pPr>
            <w:r>
              <w:rPr>
                <w:rFonts w:ascii="Arial" w:cs="Arial" w:eastAsia="Arial" w:hAnsi="Arial"/>
                <w:sz w:val="17"/>
                <w:szCs w:val="17"/>
                <w:color w:val="auto"/>
              </w:rPr>
              <w:t>North America</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2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Europe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8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nine months ended September 30, 2021 and 2022, the Company has not incurred any costs related to warranty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w:t>
      </w:r>
    </w:p>
    <w:p>
      <w:pPr>
        <w:spacing w:after="0" w:line="2" w:lineRule="exact"/>
        <w:rPr>
          <w:sz w:val="20"/>
          <w:szCs w:val="20"/>
          <w:color w:val="auto"/>
        </w:rPr>
      </w:pPr>
    </w:p>
    <w:p>
      <w:pPr>
        <w:jc w:val="both"/>
        <w:ind w:firstLine="8"/>
        <w:spacing w:after="0" w:line="254" w:lineRule="auto"/>
        <w:tabs>
          <w:tab w:leader="none" w:pos="299"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 typically from original equipment manufacturers.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involved in routine legal proceedings in the ordinary course of business.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240"/>
          </w:cols>
          <w:pgMar w:left="320" w:top="118" w:right="3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an effort to clarify its obligations with respect to the earnout payment due to the selling shareholders of Nangate, Inc., the Company sought declaratory relief in the California Superior Court in December 2020. In February 2021, two of the selling shareholders of Nangate (together with a third cross-complainant who joined later, the “Nangate Parties”) filed a cross-complaint against the Company and two members of the Company’s board of directors, alleging, among other causes of action, breach of contract, fraud and negligent misrepresentation. In the intervening period, the Company and the Nangate Parties have engaged in motion practice related to, among other items, the removal of certain of the Company’s board members from the proceedings. Each party has also responded to requests for production and begun performing depositions. No trial date has been set. The Company considers these allegations to be baseless and is vigorously defending itself in this litigation. The Company accordingly has not recorded a charge for this contingency.</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August 19, 2021, Aldini sued the Company, the Company’s French affiliate, a member of the Company’s board of directors and the Company’s CEO, among numerous other noncompany defendants, in connection with the Company’s interactions with Dolphin. Aldini’s allegations center around the bankruptcy and reorganization of Dolphin in 2018 and Silvaco’s acquisition of certain memory assets of Dolphin, which Aldini alleges was done in violation of its rights as a shareholder of Dolphin. Aldini AG’s First Amended Complaint asserts various tort claims against Silvaco, Inc. (“Silvaco”), Silvaco France, and officers Iliya Pesic and Babak Taheri, including claims for trade secret theft, conspiracy, and intentional interference with a prospective economic advantage. Silvaco filed a motion to dismiss; the trade secret theft and conspiracy claims were dismissed with prejudice and the intentional tort claims were dismissed with leave to amend. On August 23, 2022, Aldini AG filed a Second Amended Complaint against Silvaco, Silvaco France, and officers Iliya Pesic and Babak Taheri that included claims of trade secret theft, conspiracy, and intentional interference with a prospective economic advantage in relation to Silvaco’s acquisition of certain assets of Dolphin Design SAS. Aldini AG seeks $703 million and punitive damages. Silvaco filed a motion to dismiss the Second Amended Complaint. The Company considers these allegations to be baseless and is vigorously defending itself in this litigation.</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software solutions and technology are subject to export control and import laws and regulations of applicable jurisdictions. Certain of the Company’s software solutions are subject to U.S. export controls and sanctions, including the Export Administration Regulations, U.S. Customs regulations, and the economic and trade sanctions regulations administered by the U.S. Treasury Department’s Office of Foreign Assets Control (“OFAC”). Between August 2019 and June 2022, the Company filed various voluntary disclosures with United States Department of Commerce Bureau of Industry and Security (“BIS”) regarding potential violations of U.S. export control laws and regulations, specifically, the deemed export of the Company’s licenses to certain parties designated on BIS’s Entity List and Unverified List, and the deemed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In July and October 2022, the Company also filed voluntary disclosures with OFAC regarding potential violations of OFAC sanctions programs, specifically the download of certain Company software modules by users in U.S. embargoed countries. The matters described in these voluntary disclosures remain pending before BIS and OFAC. The Company cannot estimate any reasonable possible loss at this time. However if either organization chose to bring an enforcement action against the Company, such actions could result in significant penalties. The Company considers that the potential loss is not probable, and therefore has not recorded a charge for this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240"/>
          </w:cols>
          <w:pgMar w:left="320" w:top="118" w:right="3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liabilities that are measured on a recurring basis as of December 31, 2021 and September 30,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gridSpan w:val="9"/>
          </w:tcPr>
          <w:p>
            <w:pPr>
              <w:jc w:val="center"/>
              <w:ind w:right="155"/>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1200" w:type="dxa"/>
            <w:vAlign w:val="bottom"/>
            <w:tcBorders>
              <w:top w:val="single" w:sz="8" w:color="auto"/>
              <w:bottom w:val="single" w:sz="8" w:color="auto"/>
            </w:tcBorders>
          </w:tcPr>
          <w:p>
            <w:pPr>
              <w:spacing w:after="0"/>
              <w:rPr>
                <w:sz w:val="18"/>
                <w:szCs w:val="18"/>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81"/>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Level 3</w:t>
            </w: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1,870</w:t>
            </w:r>
          </w:p>
        </w:tc>
      </w:tr>
      <w:tr>
        <w:trPr>
          <w:trHeight w:val="225"/>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1,870</w:t>
            </w:r>
          </w:p>
        </w:tc>
        <w:tc>
          <w:tcPr>
            <w:tcW w:w="4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gridSpan w:val="2"/>
          </w:tcPr>
          <w:p>
            <w:pPr>
              <w:ind w:left="960"/>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gridSpan w:val="2"/>
          </w:tcPr>
          <w:p>
            <w:pPr>
              <w:ind w:left="800"/>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1,870</w:t>
            </w:r>
          </w:p>
        </w:tc>
      </w:tr>
      <w:tr>
        <w:trPr>
          <w:trHeight w:val="21"/>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gridSpan w:val="10"/>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8"/>
        </w:trPr>
        <w:tc>
          <w:tcPr>
            <w:tcW w:w="4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10"/>
          </w:tcPr>
          <w:p>
            <w:pPr>
              <w:jc w:val="center"/>
              <w:ind w:left="940"/>
              <w:spacing w:after="0"/>
              <w:rPr>
                <w:sz w:val="20"/>
                <w:szCs w:val="20"/>
                <w:color w:val="auto"/>
              </w:rPr>
            </w:pPr>
            <w:r>
              <w:rPr>
                <w:rFonts w:ascii="Arial" w:cs="Arial" w:eastAsia="Arial" w:hAnsi="Arial"/>
                <w:sz w:val="14"/>
                <w:szCs w:val="14"/>
                <w:b w:val="1"/>
                <w:bCs w:val="1"/>
                <w:color w:val="auto"/>
              </w:rPr>
              <w:t>Fair value measurements as of September 30, 2022</w:t>
            </w:r>
          </w:p>
        </w:tc>
        <w:tc>
          <w:tcPr>
            <w:tcW w:w="1200" w:type="dxa"/>
            <w:vAlign w:val="bottom"/>
            <w:tcBorders>
              <w:bottom w:val="single" w:sz="8" w:color="auto"/>
            </w:tcBorders>
          </w:tcPr>
          <w:p>
            <w:pPr>
              <w:spacing w:after="0"/>
              <w:rPr>
                <w:sz w:val="24"/>
                <w:szCs w:val="24"/>
                <w:color w:val="auto"/>
              </w:rPr>
            </w:pPr>
          </w:p>
        </w:tc>
      </w:tr>
      <w:tr>
        <w:trPr>
          <w:trHeight w:val="193"/>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681"/>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Level 2</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Level 3</w:t>
            </w:r>
          </w:p>
        </w:tc>
      </w:tr>
      <w:tr>
        <w:trPr>
          <w:trHeight w:val="209"/>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w:t>
            </w: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1,073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ind w:left="9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80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1,073</w:t>
            </w:r>
          </w:p>
        </w:tc>
      </w:tr>
      <w:tr>
        <w:trPr>
          <w:trHeight w:val="21"/>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4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bl>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Pursuant to the stock purchase agreements for the acquisition of Nangate and PolytEDA, the selling shareholders are entitled to additional milestone and earn out consideration based on net revenues, operating income and technical achievement. The milestone consideration and earn-out liabilities are classified as contingent consideration as the obligations are due in cash. As such the obligations are recorded at their fair value and re-valued period to period with any changes recorded to operating income (expense).</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 See also, </w:t>
      </w:r>
      <w:r>
        <w:rPr>
          <w:rFonts w:ascii="Arial" w:cs="Arial" w:eastAsia="Arial" w:hAnsi="Arial"/>
          <w:sz w:val="17"/>
          <w:szCs w:val="17"/>
          <w:u w:val="single" w:color="auto"/>
          <w:color w:val="0000FF"/>
        </w:rPr>
        <w:t>Note 5</w:t>
      </w:r>
      <w:r>
        <w:rPr>
          <w:rFonts w:ascii="Arial" w:cs="Arial" w:eastAsia="Arial" w:hAnsi="Arial"/>
          <w:sz w:val="17"/>
          <w:szCs w:val="17"/>
          <w:color w:val="auto"/>
        </w:rPr>
        <w:t>,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changes in the liability related to contingent consideration as of December 31, 2021 and September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i w:val="1"/>
                <w:iCs w:val="1"/>
                <w:color w:val="auto"/>
              </w:rPr>
              <w:t>(in thousands)</w:t>
            </w:r>
          </w:p>
        </w:tc>
      </w:tr>
      <w:tr>
        <w:trPr>
          <w:trHeight w:val="227"/>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January 1, 2021</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1,088</w:t>
            </w:r>
          </w:p>
        </w:tc>
      </w:tr>
      <w:tr>
        <w:trPr>
          <w:trHeight w:val="227"/>
        </w:trPr>
        <w:tc>
          <w:tcPr>
            <w:tcW w:w="8520" w:type="dxa"/>
            <w:vAlign w:val="bottom"/>
          </w:tcPr>
          <w:p>
            <w:pPr>
              <w:ind w:left="240"/>
              <w:spacing w:after="0"/>
              <w:rPr>
                <w:sz w:val="20"/>
                <w:szCs w:val="20"/>
                <w:color w:val="auto"/>
              </w:rPr>
            </w:pPr>
            <w:r>
              <w:rPr>
                <w:rFonts w:ascii="Arial" w:cs="Arial" w:eastAsia="Arial" w:hAnsi="Arial"/>
                <w:sz w:val="17"/>
                <w:szCs w:val="17"/>
                <w:color w:val="auto"/>
              </w:rPr>
              <w:t>PolytEDA acquisition</w:t>
            </w: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974</w:t>
            </w:r>
          </w:p>
        </w:tc>
      </w:tr>
      <w:tr>
        <w:trPr>
          <w:trHeight w:val="232"/>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w:t>
            </w:r>
          </w:p>
        </w:tc>
        <w:tc>
          <w:tcPr>
            <w:tcW w:w="500" w:type="dxa"/>
            <w:vAlign w:val="bottom"/>
            <w:shd w:val="clear" w:color="auto" w:fill="CCEEFF"/>
          </w:tcPr>
          <w:p>
            <w:pPr>
              <w:spacing w:after="0"/>
              <w:rPr>
                <w:sz w:val="20"/>
                <w:szCs w:val="20"/>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27"/>
        </w:trPr>
        <w:tc>
          <w:tcPr>
            <w:tcW w:w="8520" w:type="dxa"/>
            <w:vAlign w:val="bottom"/>
          </w:tcPr>
          <w:p>
            <w:pPr>
              <w:ind w:left="240"/>
              <w:spacing w:after="0"/>
              <w:rPr>
                <w:sz w:val="20"/>
                <w:szCs w:val="20"/>
                <w:color w:val="auto"/>
              </w:rPr>
            </w:pPr>
            <w:r>
              <w:rPr>
                <w:rFonts w:ascii="Arial" w:cs="Arial" w:eastAsia="Arial" w:hAnsi="Arial"/>
                <w:sz w:val="17"/>
                <w:szCs w:val="17"/>
                <w:color w:val="auto"/>
              </w:rPr>
              <w:t>Earn-out payments</w:t>
            </w: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(440)</w:t>
            </w:r>
          </w:p>
        </w:tc>
      </w:tr>
      <w:tr>
        <w:trPr>
          <w:trHeight w:val="232"/>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Foreign exchange</w:t>
            </w:r>
          </w:p>
        </w:tc>
        <w:tc>
          <w:tcPr>
            <w:tcW w:w="500" w:type="dxa"/>
            <w:vAlign w:val="bottom"/>
            <w:tcBorders>
              <w:bottom w:val="single" w:sz="8" w:color="auto"/>
            </w:tcBorders>
            <w:shd w:val="clear" w:color="auto" w:fill="CCEEFF"/>
          </w:tcPr>
          <w:p>
            <w:pPr>
              <w:spacing w:after="0"/>
              <w:rPr>
                <w:sz w:val="20"/>
                <w:szCs w:val="20"/>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Fair value as of December 31, 2021</w:t>
            </w: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1,870</w:t>
            </w:r>
          </w:p>
        </w:tc>
      </w:tr>
      <w:tr>
        <w:trPr>
          <w:trHeight w:val="223"/>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 in fair value</w:t>
            </w:r>
          </w:p>
        </w:tc>
        <w:tc>
          <w:tcPr>
            <w:tcW w:w="5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7"/>
        </w:trPr>
        <w:tc>
          <w:tcPr>
            <w:tcW w:w="8520" w:type="dxa"/>
            <w:vAlign w:val="bottom"/>
          </w:tcPr>
          <w:p>
            <w:pPr>
              <w:ind w:left="240"/>
              <w:spacing w:after="0"/>
              <w:rPr>
                <w:sz w:val="20"/>
                <w:szCs w:val="20"/>
                <w:color w:val="auto"/>
              </w:rPr>
            </w:pPr>
            <w:r>
              <w:rPr>
                <w:rFonts w:ascii="Arial" w:cs="Arial" w:eastAsia="Arial" w:hAnsi="Arial"/>
                <w:sz w:val="17"/>
                <w:szCs w:val="17"/>
                <w:color w:val="auto"/>
              </w:rPr>
              <w:t>Earn-out payments</w:t>
            </w: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232"/>
        </w:trPr>
        <w:tc>
          <w:tcPr>
            <w:tcW w:w="8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Milestone achievement</w:t>
            </w:r>
          </w:p>
        </w:tc>
        <w:tc>
          <w:tcPr>
            <w:tcW w:w="500" w:type="dxa"/>
            <w:vAlign w:val="bottom"/>
            <w:shd w:val="clear" w:color="auto" w:fill="CCEEFF"/>
          </w:tcPr>
          <w:p>
            <w:pPr>
              <w:spacing w:after="0"/>
              <w:rPr>
                <w:sz w:val="20"/>
                <w:szCs w:val="20"/>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7"/>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Foreign exchange</w:t>
            </w: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as of September 30, 2022</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w w:val="84"/>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bl>
    <w:p>
      <w:pPr>
        <w:spacing w:after="0" w:line="24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Nonfinancial assets such as property and equipment, intangibles assets, and goodwill are evaluated for impairment and adjusted to fair value using Level 3 inputs only when impairment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Russia’s invasion of Ukraine in February 2022, the Company recorded an impairment charge of $0.6 million to reduce the carrying value of $0.3 million of developed technology and $0.3 million of customer relationships associated with the Company’s Ukrainian subsidiary which management determined would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240"/>
          </w:cols>
          <w:pgMar w:left="320" w:top="118" w:right="3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273050</wp:posOffset>
            </wp:positionV>
            <wp:extent cx="2794635" cy="1045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463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770255</wp:posOffset>
            </wp:positionV>
            <wp:extent cx="33515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78740</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28"/>
          <w:szCs w:val="28"/>
          <w:b w:val="1"/>
          <w:bCs w:val="1"/>
          <w:color w:val="auto"/>
        </w:rPr>
        <w:t>Jefferies</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sets forth all costs and expenses, other than the underwriting discounts and commissions, payable by Silvaco Group, Inc., or the Registrant, in connection with the offer and sale of the common stock being registered. All amounts shown are estimates except for the Securities and Exchange Commission, or the SEC, registration fee, the FINRA filing fee and exchange listing fee.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spacing w:after="0"/>
              <w:rPr>
                <w:sz w:val="18"/>
                <w:szCs w:val="18"/>
                <w:color w:val="auto"/>
              </w:rPr>
            </w:pPr>
          </w:p>
        </w:tc>
      </w:tr>
      <w:tr>
        <w:trPr>
          <w:trHeight w:val="224"/>
        </w:trPr>
        <w:tc>
          <w:tcPr>
            <w:tcW w:w="9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 registration fee</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9780" w:type="dxa"/>
            <w:vAlign w:val="bottom"/>
          </w:tcPr>
          <w:p>
            <w:pPr>
              <w:ind w:left="20"/>
              <w:spacing w:after="0"/>
              <w:rPr>
                <w:sz w:val="20"/>
                <w:szCs w:val="20"/>
                <w:color w:val="auto"/>
              </w:rPr>
            </w:pPr>
            <w:r>
              <w:rPr>
                <w:rFonts w:ascii="Arial" w:cs="Arial" w:eastAsia="Arial" w:hAnsi="Arial"/>
                <w:sz w:val="17"/>
                <w:szCs w:val="17"/>
                <w:color w:val="auto"/>
              </w:rPr>
              <w:t>FINRA filing fee</w:t>
            </w: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97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filing fee</w:t>
            </w: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9780" w:type="dxa"/>
            <w:vAlign w:val="bottom"/>
          </w:tcPr>
          <w:p>
            <w:pPr>
              <w:ind w:left="20"/>
              <w:spacing w:after="0"/>
              <w:rPr>
                <w:sz w:val="20"/>
                <w:szCs w:val="20"/>
                <w:color w:val="auto"/>
              </w:rPr>
            </w:pPr>
            <w:r>
              <w:rPr>
                <w:rFonts w:ascii="Arial" w:cs="Arial" w:eastAsia="Arial" w:hAnsi="Arial"/>
                <w:sz w:val="17"/>
                <w:szCs w:val="17"/>
                <w:color w:val="auto"/>
              </w:rPr>
              <w:t>Printing and engraving expenses</w:t>
            </w: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9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fees and expenses</w:t>
            </w: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9780" w:type="dxa"/>
            <w:vAlign w:val="bottom"/>
          </w:tcPr>
          <w:p>
            <w:pPr>
              <w:ind w:left="20"/>
              <w:spacing w:after="0"/>
              <w:rPr>
                <w:sz w:val="20"/>
                <w:szCs w:val="20"/>
                <w:color w:val="auto"/>
              </w:rPr>
            </w:pPr>
            <w:r>
              <w:rPr>
                <w:rFonts w:ascii="Arial" w:cs="Arial" w:eastAsia="Arial" w:hAnsi="Arial"/>
                <w:sz w:val="17"/>
                <w:szCs w:val="17"/>
                <w:color w:val="auto"/>
              </w:rPr>
              <w:t>Accounting fees and expenses</w:t>
            </w: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9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agent and registrar fees and expenses</w:t>
            </w: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Miscellaneous fees and expenses</w:t>
            </w: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9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94"/>
        </w:trPr>
        <w:tc>
          <w:tcPr>
            <w:tcW w:w="97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bl>
    <w:p>
      <w:pPr>
        <w:spacing w:after="0" w:line="85"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Registrant is incorporated under the laws of the State of Delaware. Section 145 of the Delaware General Corporation Law, or the DGCL,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are, or are threatened to be made,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Upon the closing of this offering, the Registrant’s amended and restated certificate of incorporation will provide for the indemnification of its directors to the fullest extent permitted under the DGCL. The Registrant’s amended and restated bylaws provide for the indemnification of its directors and officers to the fullest extent permitted under the DGCL. Each of the Registrant’s amended and restated certificate of incorporation and amended and restated bylaws will become effective upon completion of this offering.</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will not be personally liable to the corporation or its stockholders for monetary damages for breach of fiduciary duties as a director, except for liability for any:</w:t>
      </w:r>
    </w:p>
    <w:p>
      <w:pPr>
        <w:spacing w:after="0" w:line="118"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 from which the director derives an improper personal benefit;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II-1</w:t>
      </w:r>
    </w:p>
    <w:p>
      <w:pPr>
        <w:sectPr>
          <w:pgSz w:w="11900" w:h="16838" w:orient="portrait"/>
          <w:cols w:equalWidth="0" w:num="1">
            <w:col w:w="11240"/>
          </w:cols>
          <w:pgMar w:left="320" w:top="118" w:right="3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act or omission not in good faith or that involves intentional misconduct or a knowing violation of law;</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unlawful payment of dividends or redemption of shares; or</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breach of a director’s duty of loyalty to the corporation or its stockholders.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Registrant’s amended and restated certificate of incorporation will include such a provision. Under the Registrant’s amended and restated bylaws, expenses incurred by any director or officers in defending any such action, suit or proceeding in advance of its final disposition will be paid by the Registrant upon delivery to it of an undertaking, by or on behalf of such director or officer, to repay all amounts so advanced if it will ultimately be determined that such director or officer is not entitled to be indemnified by the Registrant, as long as such undertaking remains required by the DGCL. 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permitted by the DGCL, the Registrant has entered into indemnity agreements with each of its directors and officers that require the Registrant, among other things, to indemnify its directors and officers against certain liabilities which may arise by reason of their status or service as directors or officers to the fullest extent not prohibited by law. These indemnification agreements may be sufficiently broad to permit indemnification of the Registrant’s officers and directors for liabilities, including reimbursement of expenses incurred, arising under the Securities Act. Under these agreements, the Registrant is not required to provide indemnification for certain matters. The indemnification agreements also set forth certain procedures that will apply in the event of a claim for indemnification thereunder.</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There is at present no pending litigation or proceeding involving any of the Registrant’s directors or executive officers as to which indemnification is required or permitted, and the Registrant is not aware of any threatened litigation or proceeding that may result in a claim for indemnification.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Prior to the closing of this offering, the Registrant intends to enter into separate indemnification agreements with each of their directors and executive officers. Each indemnification agreement will provide, among other things, for indemnification to the fullest extent permitted by law and our amended and restated certificate of incorporation and amended and restated bylaws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138"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Registrant intends to enter into an insurance policy that covers its officers and directors with respect to certain liabilities, including liabilities arising under the Securities Act or otherwise.</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Registrant plans to enter into an underwriting agreement which provides that the underwriters are obligated, under some circumstances, to indemnify the Registrant’s directors, officers and controlling persons against specified liabilities, including liabilities under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list of exhibits is set forth under “Exhibit Index” at the end of this registration statement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7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No financial statement schedules are provided because the information called for is not required or is shown either in the financial statements or the notes thereto.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further undertakes that:</w:t>
      </w:r>
    </w:p>
    <w:p>
      <w:pPr>
        <w:spacing w:after="0" w:line="183" w:lineRule="exact"/>
        <w:rPr>
          <w:sz w:val="20"/>
          <w:szCs w:val="20"/>
          <w:color w:val="auto"/>
        </w:rPr>
      </w:pPr>
    </w:p>
    <w:p>
      <w:pPr>
        <w:jc w:val="both"/>
        <w:ind w:left="660" w:hanging="328"/>
        <w:spacing w:after="0" w:line="265" w:lineRule="auto"/>
        <w:tabs>
          <w:tab w:leader="none" w:pos="653" w:val="left"/>
        </w:tabs>
        <w:numPr>
          <w:ilvl w:val="0"/>
          <w:numId w:val="9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will be deemed to be part of this registration statement as of the time it was declared effective.</w:t>
      </w:r>
    </w:p>
    <w:p>
      <w:pPr>
        <w:jc w:val="both"/>
        <w:ind w:left="660" w:hanging="328"/>
        <w:spacing w:after="0" w:line="274" w:lineRule="auto"/>
        <w:tabs>
          <w:tab w:leader="none" w:pos="653"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240"/>
          </w:cols>
          <w:pgMar w:left="320" w:top="118" w:right="3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90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339"/>
        </w:trPr>
        <w:tc>
          <w:tcPr>
            <w:tcW w:w="1300" w:type="dxa"/>
            <w:vAlign w:val="bottom"/>
            <w:tcBorders>
              <w:bottom w:val="single" w:sz="8" w:color="auto"/>
            </w:tcBorders>
            <w:gridSpan w:val="2"/>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r>
        <w:trPr>
          <w:trHeight w:val="195"/>
        </w:trPr>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9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400"/>
        </w:trPr>
        <w:tc>
          <w:tcPr>
            <w:tcW w:w="1300" w:type="dxa"/>
            <w:vAlign w:val="bottom"/>
            <w:gridSpan w:val="2"/>
          </w:tcPr>
          <w:p>
            <w:pPr>
              <w:ind w:left="20"/>
              <w:spacing w:after="0"/>
              <w:rPr>
                <w:sz w:val="20"/>
                <w:szCs w:val="20"/>
                <w:color w:val="auto"/>
              </w:rPr>
            </w:pPr>
            <w:r>
              <w:rPr>
                <w:rFonts w:ascii="Arial" w:cs="Arial" w:eastAsia="Arial" w:hAnsi="Arial"/>
                <w:sz w:val="17"/>
                <w:szCs w:val="17"/>
                <w:color w:val="auto"/>
              </w:rPr>
              <w:t>1.1†</w:t>
            </w:r>
          </w:p>
        </w:tc>
        <w:tc>
          <w:tcPr>
            <w:tcW w:w="9900" w:type="dxa"/>
            <w:vAlign w:val="bottom"/>
          </w:tcPr>
          <w:p>
            <w:pPr>
              <w:ind w:left="20"/>
              <w:spacing w:after="0"/>
              <w:rPr>
                <w:sz w:val="20"/>
                <w:szCs w:val="20"/>
                <w:color w:val="auto"/>
              </w:rPr>
            </w:pPr>
            <w:r>
              <w:rPr>
                <w:rFonts w:ascii="Arial" w:cs="Arial" w:eastAsia="Arial" w:hAnsi="Arial"/>
                <w:sz w:val="17"/>
                <w:szCs w:val="17"/>
                <w:color w:val="auto"/>
              </w:rPr>
              <w:t>Form of Underwriting Agreement.</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Amended and Restated Certificate of Incorporation, as amended and as currently in effect.</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Certificate of Amendment to the Amended and Restated Certificate of Incorporation, as amended and as currently in effect.</w:t>
            </w:r>
          </w:p>
        </w:tc>
      </w:tr>
      <w:tr>
        <w:trPr>
          <w:trHeight w:val="378"/>
        </w:trPr>
        <w:tc>
          <w:tcPr>
            <w:tcW w:w="120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Form of Amended and Restated Certificate of Incorporation, to be effective as of immediately prior to the completion of this</w:t>
            </w:r>
          </w:p>
        </w:tc>
      </w:tr>
      <w:tr>
        <w:trPr>
          <w:trHeight w:val="225"/>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offering.</w:t>
            </w:r>
          </w:p>
        </w:tc>
      </w:tr>
      <w:tr>
        <w:trPr>
          <w:trHeight w:val="423"/>
        </w:trPr>
        <w:tc>
          <w:tcPr>
            <w:tcW w:w="1200" w:type="dxa"/>
            <w:vAlign w:val="bottom"/>
          </w:tcPr>
          <w:p>
            <w:pPr>
              <w:ind w:left="2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Bylaws, as amended and as currently in effect.</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Form of Amended and Restated Bylaws, to be effective as of immediately prior to the completion of this offering.</w:t>
            </w:r>
          </w:p>
        </w:tc>
      </w:tr>
      <w:tr>
        <w:trPr>
          <w:trHeight w:val="432"/>
        </w:trPr>
        <w:tc>
          <w:tcPr>
            <w:tcW w:w="1300" w:type="dxa"/>
            <w:vAlign w:val="bottom"/>
            <w:gridSpan w:val="2"/>
          </w:tcPr>
          <w:p>
            <w:pPr>
              <w:ind w:left="20"/>
              <w:spacing w:after="0"/>
              <w:rPr>
                <w:sz w:val="20"/>
                <w:szCs w:val="20"/>
                <w:color w:val="auto"/>
              </w:rPr>
            </w:pPr>
            <w:r>
              <w:rPr>
                <w:rFonts w:ascii="Arial" w:cs="Arial" w:eastAsia="Arial" w:hAnsi="Arial"/>
                <w:sz w:val="17"/>
                <w:szCs w:val="17"/>
                <w:color w:val="auto"/>
              </w:rPr>
              <w:t>4.1†</w:t>
            </w:r>
          </w:p>
        </w:tc>
        <w:tc>
          <w:tcPr>
            <w:tcW w:w="9900" w:type="dxa"/>
            <w:vAlign w:val="bottom"/>
          </w:tcPr>
          <w:p>
            <w:pPr>
              <w:ind w:left="20"/>
              <w:spacing w:after="0"/>
              <w:rPr>
                <w:sz w:val="20"/>
                <w:szCs w:val="20"/>
                <w:color w:val="auto"/>
              </w:rPr>
            </w:pPr>
            <w:r>
              <w:rPr>
                <w:rFonts w:ascii="Arial" w:cs="Arial" w:eastAsia="Arial" w:hAnsi="Arial"/>
                <w:sz w:val="17"/>
                <w:szCs w:val="17"/>
                <w:color w:val="auto"/>
              </w:rPr>
              <w:t>Form of Common Stock Certificate of the Registrant.</w:t>
            </w:r>
          </w:p>
        </w:tc>
      </w:tr>
      <w:tr>
        <w:trPr>
          <w:trHeight w:val="432"/>
        </w:trPr>
        <w:tc>
          <w:tcPr>
            <w:tcW w:w="1300" w:type="dxa"/>
            <w:vAlign w:val="bottom"/>
            <w:gridSpan w:val="2"/>
          </w:tcPr>
          <w:p>
            <w:pPr>
              <w:ind w:left="20"/>
              <w:spacing w:after="0"/>
              <w:rPr>
                <w:sz w:val="20"/>
                <w:szCs w:val="20"/>
                <w:color w:val="auto"/>
              </w:rPr>
            </w:pPr>
            <w:r>
              <w:rPr>
                <w:rFonts w:ascii="Arial" w:cs="Arial" w:eastAsia="Arial" w:hAnsi="Arial"/>
                <w:sz w:val="17"/>
                <w:szCs w:val="17"/>
                <w:color w:val="auto"/>
              </w:rPr>
              <w:t>5.1†</w:t>
            </w:r>
          </w:p>
        </w:tc>
        <w:tc>
          <w:tcPr>
            <w:tcW w:w="9900" w:type="dxa"/>
            <w:vAlign w:val="bottom"/>
          </w:tcPr>
          <w:p>
            <w:pPr>
              <w:ind w:left="20"/>
              <w:spacing w:after="0"/>
              <w:rPr>
                <w:sz w:val="20"/>
                <w:szCs w:val="20"/>
                <w:color w:val="auto"/>
              </w:rPr>
            </w:pPr>
            <w:r>
              <w:rPr>
                <w:rFonts w:ascii="Arial" w:cs="Arial" w:eastAsia="Arial" w:hAnsi="Arial"/>
                <w:sz w:val="17"/>
                <w:szCs w:val="17"/>
                <w:color w:val="auto"/>
              </w:rPr>
              <w:t>Opinion of DLA Piper LLP (US).</w:t>
            </w:r>
          </w:p>
        </w:tc>
      </w:tr>
      <w:tr>
        <w:trPr>
          <w:trHeight w:val="432"/>
        </w:trPr>
        <w:tc>
          <w:tcPr>
            <w:tcW w:w="1300" w:type="dxa"/>
            <w:vAlign w:val="bottom"/>
            <w:gridSpan w:val="2"/>
          </w:tcPr>
          <w:p>
            <w:pPr>
              <w:ind w:left="20"/>
              <w:spacing w:after="0"/>
              <w:rPr>
                <w:sz w:val="20"/>
                <w:szCs w:val="20"/>
                <w:color w:val="auto"/>
              </w:rPr>
            </w:pPr>
            <w:r>
              <w:rPr>
                <w:rFonts w:ascii="Arial" w:cs="Arial" w:eastAsia="Arial" w:hAnsi="Arial"/>
                <w:sz w:val="17"/>
                <w:szCs w:val="17"/>
                <w:color w:val="auto"/>
              </w:rPr>
              <w:t>10.1+†</w:t>
            </w:r>
          </w:p>
        </w:tc>
        <w:tc>
          <w:tcPr>
            <w:tcW w:w="9900" w:type="dxa"/>
            <w:vAlign w:val="bottom"/>
          </w:tcPr>
          <w:p>
            <w:pPr>
              <w:ind w:left="20"/>
              <w:spacing w:after="0"/>
              <w:rPr>
                <w:sz w:val="20"/>
                <w:szCs w:val="20"/>
                <w:color w:val="auto"/>
              </w:rPr>
            </w:pPr>
            <w:r>
              <w:rPr>
                <w:rFonts w:ascii="Arial" w:cs="Arial" w:eastAsia="Arial" w:hAnsi="Arial"/>
                <w:sz w:val="17"/>
                <w:szCs w:val="17"/>
                <w:color w:val="auto"/>
              </w:rPr>
              <w:t>Form of Indemnification Agreement between the Registrant and its directors and officers.</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2014 Stock Incentive Plan and Form of Restricted Stock Unit Agreement thereunder.</w:t>
            </w:r>
          </w:p>
        </w:tc>
      </w:tr>
      <w:tr>
        <w:trPr>
          <w:trHeight w:val="378"/>
        </w:trPr>
        <w:tc>
          <w:tcPr>
            <w:tcW w:w="120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2023 Stock Incentive Plan and Forms of Stock Option Agreement, Notice of Exercise, Stock Option Grant Notice, Restricted Stock</w:t>
            </w:r>
          </w:p>
        </w:tc>
      </w:tr>
      <w:tr>
        <w:trPr>
          <w:trHeight w:val="225"/>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Unit Agreement and Restricted Stock Agreement thereunder.</w:t>
            </w:r>
          </w:p>
        </w:tc>
      </w:tr>
      <w:tr>
        <w:trPr>
          <w:trHeight w:val="423"/>
        </w:trPr>
        <w:tc>
          <w:tcPr>
            <w:tcW w:w="120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2023 Employee Stock Purchase Plan.</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Offer Letter Agreement, dated December 25, 2021, between the Registrant and Dr. Raúl Camposano.</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Offer Letter Agreement, dated May 1, 2017, between the Registrant and Dr. Eric Guichard.</w:t>
            </w:r>
          </w:p>
        </w:tc>
      </w:tr>
      <w:tr>
        <w:trPr>
          <w:trHeight w:val="378"/>
        </w:trPr>
        <w:tc>
          <w:tcPr>
            <w:tcW w:w="120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Offer Letter Agreement, dated January 27, 2022, between the Registrant and Robert J. McMullan, as amended by the Amendment</w:t>
            </w:r>
          </w:p>
        </w:tc>
      </w:tr>
      <w:tr>
        <w:trPr>
          <w:trHeight w:val="225"/>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to the Offer Letter Agreement, dated November 16, 2022.</w:t>
            </w:r>
          </w:p>
        </w:tc>
      </w:tr>
      <w:tr>
        <w:trPr>
          <w:trHeight w:val="423"/>
        </w:trPr>
        <w:tc>
          <w:tcPr>
            <w:tcW w:w="1200" w:type="dxa"/>
            <w:vAlign w:val="bottom"/>
          </w:tcPr>
          <w:p>
            <w:pPr>
              <w:ind w:left="2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Consulting Advisory Agreement, dated January 12, 2022, between the Registrant and Katherine S. Ngai-Pesic.</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Consulting Advisory Agreement, dated January 12, 2022, between the Registrant and Iliya I. Pesic.</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10.10+*</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Offer Letter Agreement, dated May 21, 2021, between the Registrant and Gregory F. Swyt.</w:t>
            </w:r>
          </w:p>
        </w:tc>
      </w:tr>
      <w:tr>
        <w:trPr>
          <w:trHeight w:val="378"/>
        </w:trPr>
        <w:tc>
          <w:tcPr>
            <w:tcW w:w="1200" w:type="dxa"/>
            <w:vAlign w:val="bottom"/>
          </w:tcPr>
          <w:p>
            <w:pPr>
              <w:ind w:left="20"/>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Offer Letter and Termination of Separation Agreement, dated November 23, 2021, between the Registrant and Dr. Babak A.</w:t>
            </w:r>
          </w:p>
        </w:tc>
      </w:tr>
      <w:tr>
        <w:trPr>
          <w:trHeight w:val="225"/>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Taheri, as amended by the Amendment to the Offer Letter and Termination of Separation Agreement, dated November 16, 2022.</w:t>
            </w:r>
          </w:p>
        </w:tc>
      </w:tr>
      <w:tr>
        <w:trPr>
          <w:trHeight w:val="423"/>
        </w:trPr>
        <w:tc>
          <w:tcPr>
            <w:tcW w:w="1200" w:type="dxa"/>
            <w:vAlign w:val="bottom"/>
          </w:tcPr>
          <w:p>
            <w:pPr>
              <w:ind w:left="20"/>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Separation Agreement and Release, dated September 1, 2021, between the Registrant and Dr. Babak A. Taheri.</w:t>
            </w:r>
          </w:p>
        </w:tc>
      </w:tr>
      <w:tr>
        <w:trPr>
          <w:trHeight w:val="432"/>
        </w:trPr>
        <w:tc>
          <w:tcPr>
            <w:tcW w:w="1200" w:type="dxa"/>
            <w:vAlign w:val="bottom"/>
          </w:tcPr>
          <w:p>
            <w:pPr>
              <w:ind w:left="20"/>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7"/>
                <w:szCs w:val="17"/>
                <w:color w:val="auto"/>
              </w:rPr>
              <w:t>California Commercial Lease Agreement, dated May 1, 2022, between Silvaco, Inc. and Kipee International, Inc.</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240"/>
          </w:cols>
          <w:pgMar w:left="320" w:top="118" w:right="33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960" w:type="dxa"/>
            <w:vAlign w:val="bottom"/>
          </w:tcPr>
          <w:p>
            <w:pPr>
              <w:spacing w:after="0"/>
              <w:rPr>
                <w:sz w:val="20"/>
                <w:szCs w:val="20"/>
                <w:color w:val="auto"/>
              </w:rPr>
            </w:pPr>
            <w:r>
              <w:rPr>
                <w:rFonts w:ascii="Arial" w:cs="Arial" w:eastAsia="Arial" w:hAnsi="Arial"/>
                <w:sz w:val="17"/>
                <w:szCs w:val="17"/>
                <w:color w:val="auto"/>
              </w:rPr>
              <w:t>10.14*</w:t>
            </w:r>
          </w:p>
        </w:tc>
        <w:tc>
          <w:tcPr>
            <w:tcW w:w="10020" w:type="dxa"/>
            <w:vAlign w:val="bottom"/>
          </w:tcPr>
          <w:p>
            <w:pPr>
              <w:ind w:left="340"/>
              <w:spacing w:after="0"/>
              <w:rPr>
                <w:sz w:val="20"/>
                <w:szCs w:val="20"/>
                <w:color w:val="auto"/>
              </w:rPr>
            </w:pPr>
            <w:r>
              <w:rPr>
                <w:rFonts w:ascii="Arial" w:cs="Arial" w:eastAsia="Arial" w:hAnsi="Arial"/>
                <w:sz w:val="17"/>
                <w:szCs w:val="17"/>
                <w:color w:val="auto"/>
                <w:w w:val="99"/>
              </w:rPr>
              <w:t>Lease Relating to Silvaco Suite, First Floor, Silvaco Technology Centre Compass Point, St. Ives, Cambridgeshire, dated January</w:t>
            </w:r>
          </w:p>
        </w:tc>
      </w:tr>
      <w:tr>
        <w:trPr>
          <w:trHeight w:val="225"/>
        </w:trPr>
        <w:tc>
          <w:tcPr>
            <w:tcW w:w="960" w:type="dxa"/>
            <w:vAlign w:val="bottom"/>
          </w:tcPr>
          <w:p>
            <w:pPr>
              <w:spacing w:after="0"/>
              <w:rPr>
                <w:sz w:val="19"/>
                <w:szCs w:val="19"/>
                <w:color w:val="auto"/>
              </w:rPr>
            </w:pPr>
          </w:p>
        </w:tc>
        <w:tc>
          <w:tcPr>
            <w:tcW w:w="10020" w:type="dxa"/>
            <w:vAlign w:val="bottom"/>
          </w:tcPr>
          <w:p>
            <w:pPr>
              <w:ind w:left="340"/>
              <w:spacing w:after="0"/>
              <w:rPr>
                <w:sz w:val="20"/>
                <w:szCs w:val="20"/>
                <w:color w:val="auto"/>
              </w:rPr>
            </w:pPr>
            <w:r>
              <w:rPr>
                <w:rFonts w:ascii="Arial" w:cs="Arial" w:eastAsia="Arial" w:hAnsi="Arial"/>
                <w:sz w:val="17"/>
                <w:szCs w:val="17"/>
                <w:color w:val="auto"/>
              </w:rPr>
              <w:t>1, 2020, between Silvaco Europe Ltd. and New Horizons (Cambridge) Ltd.</w:t>
            </w:r>
          </w:p>
        </w:tc>
      </w:tr>
      <w:tr>
        <w:trPr>
          <w:trHeight w:val="369"/>
        </w:trPr>
        <w:tc>
          <w:tcPr>
            <w:tcW w:w="960" w:type="dxa"/>
            <w:vAlign w:val="bottom"/>
          </w:tcPr>
          <w:p>
            <w:pPr>
              <w:spacing w:after="0"/>
              <w:rPr>
                <w:sz w:val="20"/>
                <w:szCs w:val="20"/>
                <w:color w:val="auto"/>
              </w:rPr>
            </w:pPr>
            <w:r>
              <w:rPr>
                <w:rFonts w:ascii="Arial" w:cs="Arial" w:eastAsia="Arial" w:hAnsi="Arial"/>
                <w:sz w:val="17"/>
                <w:szCs w:val="17"/>
                <w:color w:val="auto"/>
              </w:rPr>
              <w:t>10.15†</w:t>
            </w:r>
          </w:p>
        </w:tc>
        <w:tc>
          <w:tcPr>
            <w:tcW w:w="10020" w:type="dxa"/>
            <w:vAlign w:val="bottom"/>
          </w:tcPr>
          <w:p>
            <w:pPr>
              <w:ind w:left="340"/>
              <w:spacing w:after="0"/>
              <w:rPr>
                <w:sz w:val="20"/>
                <w:szCs w:val="20"/>
                <w:color w:val="auto"/>
              </w:rPr>
            </w:pPr>
            <w:r>
              <w:rPr>
                <w:rFonts w:ascii="Arial" w:cs="Arial" w:eastAsia="Arial" w:hAnsi="Arial"/>
                <w:sz w:val="17"/>
                <w:szCs w:val="17"/>
                <w:color w:val="auto"/>
              </w:rPr>
              <w:t>Commercial Lease, dated April 28, 2017, by and between the Registrant, as successor, and New Horizons, as amended by the</w:t>
            </w:r>
          </w:p>
        </w:tc>
      </w:tr>
      <w:tr>
        <w:trPr>
          <w:trHeight w:val="225"/>
        </w:trPr>
        <w:tc>
          <w:tcPr>
            <w:tcW w:w="960" w:type="dxa"/>
            <w:vAlign w:val="bottom"/>
          </w:tcPr>
          <w:p>
            <w:pPr>
              <w:spacing w:after="0"/>
              <w:rPr>
                <w:sz w:val="19"/>
                <w:szCs w:val="19"/>
                <w:color w:val="auto"/>
              </w:rPr>
            </w:pPr>
          </w:p>
        </w:tc>
        <w:tc>
          <w:tcPr>
            <w:tcW w:w="10020" w:type="dxa"/>
            <w:vAlign w:val="bottom"/>
          </w:tcPr>
          <w:p>
            <w:pPr>
              <w:ind w:left="340"/>
              <w:spacing w:after="0"/>
              <w:rPr>
                <w:sz w:val="20"/>
                <w:szCs w:val="20"/>
                <w:color w:val="auto"/>
              </w:rPr>
            </w:pPr>
            <w:r>
              <w:rPr>
                <w:rFonts w:ascii="Arial" w:cs="Arial" w:eastAsia="Arial" w:hAnsi="Arial"/>
                <w:sz w:val="17"/>
                <w:szCs w:val="17"/>
                <w:color w:val="auto"/>
              </w:rPr>
              <w:t>Supplementary Agreement No. 1 to the Commercial Lease entered into on April 28, 2017, dated November 1, 2019.</w:t>
            </w:r>
          </w:p>
        </w:tc>
      </w:tr>
      <w:tr>
        <w:trPr>
          <w:trHeight w:val="369"/>
        </w:trPr>
        <w:tc>
          <w:tcPr>
            <w:tcW w:w="960" w:type="dxa"/>
            <w:vAlign w:val="bottom"/>
          </w:tcPr>
          <w:p>
            <w:pPr>
              <w:spacing w:after="0"/>
              <w:rPr>
                <w:sz w:val="20"/>
                <w:szCs w:val="20"/>
                <w:color w:val="auto"/>
              </w:rPr>
            </w:pPr>
            <w:r>
              <w:rPr>
                <w:rFonts w:ascii="Arial" w:cs="Arial" w:eastAsia="Arial" w:hAnsi="Arial"/>
                <w:sz w:val="17"/>
                <w:szCs w:val="17"/>
                <w:color w:val="auto"/>
              </w:rPr>
              <w:t>10.16†</w:t>
            </w:r>
          </w:p>
        </w:tc>
        <w:tc>
          <w:tcPr>
            <w:tcW w:w="10020" w:type="dxa"/>
            <w:vAlign w:val="bottom"/>
          </w:tcPr>
          <w:p>
            <w:pPr>
              <w:ind w:left="340"/>
              <w:spacing w:after="0"/>
              <w:rPr>
                <w:sz w:val="20"/>
                <w:szCs w:val="20"/>
                <w:color w:val="auto"/>
              </w:rPr>
            </w:pPr>
            <w:r>
              <w:rPr>
                <w:rFonts w:ascii="Arial" w:cs="Arial" w:eastAsia="Arial" w:hAnsi="Arial"/>
                <w:sz w:val="17"/>
                <w:szCs w:val="17"/>
                <w:color w:val="auto"/>
              </w:rPr>
              <w:t>Commercial Lease, dated April 28, 2017, by and between the Registrant, as successor, and New Horizons, as amended by the</w:t>
            </w:r>
          </w:p>
        </w:tc>
      </w:tr>
      <w:tr>
        <w:trPr>
          <w:trHeight w:val="225"/>
        </w:trPr>
        <w:tc>
          <w:tcPr>
            <w:tcW w:w="960" w:type="dxa"/>
            <w:vAlign w:val="bottom"/>
          </w:tcPr>
          <w:p>
            <w:pPr>
              <w:spacing w:after="0"/>
              <w:rPr>
                <w:sz w:val="19"/>
                <w:szCs w:val="19"/>
                <w:color w:val="auto"/>
              </w:rPr>
            </w:pPr>
          </w:p>
        </w:tc>
        <w:tc>
          <w:tcPr>
            <w:tcW w:w="10020" w:type="dxa"/>
            <w:vAlign w:val="bottom"/>
          </w:tcPr>
          <w:p>
            <w:pPr>
              <w:ind w:left="340"/>
              <w:spacing w:after="0"/>
              <w:rPr>
                <w:sz w:val="20"/>
                <w:szCs w:val="20"/>
                <w:color w:val="auto"/>
              </w:rPr>
            </w:pPr>
            <w:r>
              <w:rPr>
                <w:rFonts w:ascii="Arial" w:cs="Arial" w:eastAsia="Arial" w:hAnsi="Arial"/>
                <w:sz w:val="17"/>
                <w:szCs w:val="17"/>
                <w:color w:val="auto"/>
              </w:rPr>
              <w:t>Commercial Lease, dated September 30, 2021.</w:t>
            </w:r>
          </w:p>
        </w:tc>
      </w:tr>
      <w:tr>
        <w:trPr>
          <w:trHeight w:val="423"/>
        </w:trPr>
        <w:tc>
          <w:tcPr>
            <w:tcW w:w="960" w:type="dxa"/>
            <w:vAlign w:val="bottom"/>
          </w:tcPr>
          <w:p>
            <w:pPr>
              <w:spacing w:after="0"/>
              <w:rPr>
                <w:sz w:val="20"/>
                <w:szCs w:val="20"/>
                <w:color w:val="auto"/>
              </w:rPr>
            </w:pPr>
            <w:r>
              <w:rPr>
                <w:rFonts w:ascii="Arial" w:cs="Arial" w:eastAsia="Arial" w:hAnsi="Arial"/>
                <w:sz w:val="17"/>
                <w:szCs w:val="17"/>
                <w:color w:val="auto"/>
              </w:rPr>
              <w:t>10.17+*</w:t>
            </w:r>
          </w:p>
        </w:tc>
        <w:tc>
          <w:tcPr>
            <w:tcW w:w="10020" w:type="dxa"/>
            <w:vAlign w:val="bottom"/>
          </w:tcPr>
          <w:p>
            <w:pPr>
              <w:ind w:left="340"/>
              <w:spacing w:after="0"/>
              <w:rPr>
                <w:sz w:val="20"/>
                <w:szCs w:val="20"/>
                <w:color w:val="auto"/>
              </w:rPr>
            </w:pPr>
            <w:r>
              <w:rPr>
                <w:rFonts w:ascii="Arial" w:cs="Arial" w:eastAsia="Arial" w:hAnsi="Arial"/>
                <w:sz w:val="17"/>
                <w:szCs w:val="17"/>
                <w:color w:val="auto"/>
              </w:rPr>
              <w:t>Executive Change in Control Plan.</w:t>
            </w:r>
          </w:p>
        </w:tc>
      </w:tr>
      <w:tr>
        <w:trPr>
          <w:trHeight w:val="378"/>
        </w:trPr>
        <w:tc>
          <w:tcPr>
            <w:tcW w:w="960" w:type="dxa"/>
            <w:vAlign w:val="bottom"/>
          </w:tcPr>
          <w:p>
            <w:pPr>
              <w:spacing w:after="0"/>
              <w:rPr>
                <w:sz w:val="20"/>
                <w:szCs w:val="20"/>
                <w:color w:val="auto"/>
              </w:rPr>
            </w:pPr>
            <w:r>
              <w:rPr>
                <w:rFonts w:ascii="Arial" w:cs="Arial" w:eastAsia="Arial" w:hAnsi="Arial"/>
                <w:sz w:val="17"/>
                <w:szCs w:val="17"/>
                <w:color w:val="auto"/>
              </w:rPr>
              <w:t>10.18#†</w:t>
            </w:r>
          </w:p>
        </w:tc>
        <w:tc>
          <w:tcPr>
            <w:tcW w:w="10020" w:type="dxa"/>
            <w:vAlign w:val="bottom"/>
          </w:tcPr>
          <w:p>
            <w:pPr>
              <w:ind w:left="340"/>
              <w:spacing w:after="0"/>
              <w:rPr>
                <w:sz w:val="20"/>
                <w:szCs w:val="20"/>
                <w:color w:val="auto"/>
              </w:rPr>
            </w:pPr>
            <w:r>
              <w:rPr>
                <w:rFonts w:ascii="Arial" w:cs="Arial" w:eastAsia="Arial" w:hAnsi="Arial"/>
                <w:sz w:val="17"/>
                <w:szCs w:val="17"/>
                <w:color w:val="auto"/>
              </w:rPr>
              <w:t>Technology License and Distribution Agreement, dated October 30, 2015, between the Registrant, as successor, and NXP</w:t>
            </w:r>
          </w:p>
        </w:tc>
      </w:tr>
      <w:tr>
        <w:trPr>
          <w:trHeight w:val="167"/>
        </w:trPr>
        <w:tc>
          <w:tcPr>
            <w:tcW w:w="960" w:type="dxa"/>
            <w:vAlign w:val="bottom"/>
          </w:tcPr>
          <w:p>
            <w:pPr>
              <w:spacing w:after="0"/>
              <w:rPr>
                <w:sz w:val="14"/>
                <w:szCs w:val="14"/>
                <w:color w:val="auto"/>
              </w:rPr>
            </w:pPr>
          </w:p>
        </w:tc>
        <w:tc>
          <w:tcPr>
            <w:tcW w:w="10020" w:type="dxa"/>
            <w:vAlign w:val="bottom"/>
          </w:tcPr>
          <w:p>
            <w:pPr>
              <w:ind w:left="340"/>
              <w:spacing w:after="0" w:line="167" w:lineRule="exact"/>
              <w:rPr>
                <w:sz w:val="20"/>
                <w:szCs w:val="20"/>
                <w:color w:val="auto"/>
              </w:rPr>
            </w:pPr>
            <w:r>
              <w:rPr>
                <w:rFonts w:ascii="Arial" w:cs="Arial" w:eastAsia="Arial" w:hAnsi="Arial"/>
                <w:sz w:val="17"/>
                <w:szCs w:val="17"/>
                <w:color w:val="auto"/>
              </w:rPr>
              <w:t>Semiconductors Netherlands B.V., originally entered into by Registrant on September 1, 2016, as amended by First Amendment</w:t>
            </w:r>
          </w:p>
        </w:tc>
      </w:tr>
      <w:tr>
        <w:trPr>
          <w:trHeight w:val="175"/>
        </w:trPr>
        <w:tc>
          <w:tcPr>
            <w:tcW w:w="960" w:type="dxa"/>
            <w:vAlign w:val="bottom"/>
          </w:tcPr>
          <w:p>
            <w:pPr>
              <w:spacing w:after="0"/>
              <w:rPr>
                <w:sz w:val="15"/>
                <w:szCs w:val="15"/>
                <w:color w:val="auto"/>
              </w:rPr>
            </w:pPr>
          </w:p>
        </w:tc>
        <w:tc>
          <w:tcPr>
            <w:tcW w:w="10020" w:type="dxa"/>
            <w:vAlign w:val="bottom"/>
          </w:tcPr>
          <w:p>
            <w:pPr>
              <w:ind w:left="340"/>
              <w:spacing w:after="0" w:line="176" w:lineRule="exact"/>
              <w:rPr>
                <w:sz w:val="20"/>
                <w:szCs w:val="20"/>
                <w:color w:val="auto"/>
              </w:rPr>
            </w:pPr>
            <w:r>
              <w:rPr>
                <w:rFonts w:ascii="Arial" w:cs="Arial" w:eastAsia="Arial" w:hAnsi="Arial"/>
                <w:sz w:val="17"/>
                <w:szCs w:val="17"/>
                <w:color w:val="auto"/>
              </w:rPr>
              <w:t>to Technology License and Distribution Agreement, dated April 20, 2016, Second Amendment to Technology License and</w:t>
            </w:r>
          </w:p>
        </w:tc>
      </w:tr>
      <w:tr>
        <w:trPr>
          <w:trHeight w:val="171"/>
        </w:trPr>
        <w:tc>
          <w:tcPr>
            <w:tcW w:w="960" w:type="dxa"/>
            <w:vAlign w:val="bottom"/>
          </w:tcPr>
          <w:p>
            <w:pPr>
              <w:spacing w:after="0"/>
              <w:rPr>
                <w:sz w:val="14"/>
                <w:szCs w:val="14"/>
                <w:color w:val="auto"/>
              </w:rPr>
            </w:pPr>
          </w:p>
        </w:tc>
        <w:tc>
          <w:tcPr>
            <w:tcW w:w="10020" w:type="dxa"/>
            <w:vAlign w:val="bottom"/>
          </w:tcPr>
          <w:p>
            <w:pPr>
              <w:ind w:left="340"/>
              <w:spacing w:after="0" w:line="171" w:lineRule="exact"/>
              <w:rPr>
                <w:sz w:val="20"/>
                <w:szCs w:val="20"/>
                <w:color w:val="auto"/>
              </w:rPr>
            </w:pPr>
            <w:r>
              <w:rPr>
                <w:rFonts w:ascii="Arial" w:cs="Arial" w:eastAsia="Arial" w:hAnsi="Arial"/>
                <w:sz w:val="17"/>
                <w:szCs w:val="17"/>
                <w:color w:val="auto"/>
              </w:rPr>
              <w:t>Distribution Agreement, dated October 18, 2016, Third Amendment to Technology License and Distribution Agreement, dated</w:t>
            </w:r>
          </w:p>
        </w:tc>
      </w:tr>
      <w:tr>
        <w:trPr>
          <w:trHeight w:val="225"/>
        </w:trPr>
        <w:tc>
          <w:tcPr>
            <w:tcW w:w="960" w:type="dxa"/>
            <w:vAlign w:val="bottom"/>
          </w:tcPr>
          <w:p>
            <w:pPr>
              <w:spacing w:after="0"/>
              <w:rPr>
                <w:sz w:val="19"/>
                <w:szCs w:val="19"/>
                <w:color w:val="auto"/>
              </w:rPr>
            </w:pPr>
          </w:p>
        </w:tc>
        <w:tc>
          <w:tcPr>
            <w:tcW w:w="10020" w:type="dxa"/>
            <w:vAlign w:val="bottom"/>
          </w:tcPr>
          <w:p>
            <w:pPr>
              <w:ind w:left="340"/>
              <w:spacing w:after="0"/>
              <w:rPr>
                <w:sz w:val="20"/>
                <w:szCs w:val="20"/>
                <w:color w:val="auto"/>
              </w:rPr>
            </w:pPr>
            <w:r>
              <w:rPr>
                <w:rFonts w:ascii="Arial" w:cs="Arial" w:eastAsia="Arial" w:hAnsi="Arial"/>
                <w:sz w:val="17"/>
                <w:szCs w:val="17"/>
                <w:color w:val="auto"/>
              </w:rPr>
              <w:t>November 10, 2018, and Fourth Amendment to Technology License and Distribution Agreement, dated March 22, 2022.</w:t>
            </w:r>
          </w:p>
        </w:tc>
      </w:tr>
      <w:tr>
        <w:trPr>
          <w:trHeight w:val="423"/>
        </w:trPr>
        <w:tc>
          <w:tcPr>
            <w:tcW w:w="960" w:type="dxa"/>
            <w:vAlign w:val="bottom"/>
          </w:tcPr>
          <w:p>
            <w:pPr>
              <w:spacing w:after="0"/>
              <w:rPr>
                <w:sz w:val="20"/>
                <w:szCs w:val="20"/>
                <w:color w:val="auto"/>
              </w:rPr>
            </w:pPr>
            <w:r>
              <w:rPr>
                <w:rFonts w:ascii="Arial" w:cs="Arial" w:eastAsia="Arial" w:hAnsi="Arial"/>
                <w:sz w:val="17"/>
                <w:szCs w:val="17"/>
                <w:color w:val="auto"/>
              </w:rPr>
              <w:t>10.19*</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May 1, 2019, between Silvaco, Inc. and Kipee International, Inc.</w:t>
            </w:r>
          </w:p>
        </w:tc>
      </w:tr>
      <w:tr>
        <w:trPr>
          <w:trHeight w:val="445"/>
        </w:trPr>
        <w:tc>
          <w:tcPr>
            <w:tcW w:w="960" w:type="dxa"/>
            <w:vAlign w:val="bottom"/>
          </w:tcPr>
          <w:p>
            <w:pPr>
              <w:spacing w:after="0"/>
              <w:rPr>
                <w:sz w:val="20"/>
                <w:szCs w:val="20"/>
                <w:color w:val="auto"/>
              </w:rPr>
            </w:pPr>
            <w:r>
              <w:rPr>
                <w:rFonts w:ascii="Arial" w:cs="Arial" w:eastAsia="Arial" w:hAnsi="Arial"/>
                <w:sz w:val="17"/>
                <w:szCs w:val="17"/>
                <w:color w:val="auto"/>
              </w:rPr>
              <w:t>10.20*</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July 1, 2019, between Silvaco, Inc. and Kipee International, Inc.</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10.21*</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August 14, 2019, between Silvaco, Inc. and Kipee International, Inc.</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10.22*</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October 10, 2019, between Silvaco, Inc. and Kipee International, Inc.</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10.23*</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February 14, 2020, between Silvaco, Inc. and Kipee International, Inc.</w:t>
            </w:r>
          </w:p>
        </w:tc>
      </w:tr>
      <w:tr>
        <w:trPr>
          <w:trHeight w:val="378"/>
        </w:trPr>
        <w:tc>
          <w:tcPr>
            <w:tcW w:w="960" w:type="dxa"/>
            <w:vAlign w:val="bottom"/>
          </w:tcPr>
          <w:p>
            <w:pPr>
              <w:spacing w:after="0"/>
              <w:rPr>
                <w:sz w:val="20"/>
                <w:szCs w:val="20"/>
                <w:color w:val="auto"/>
              </w:rPr>
            </w:pPr>
            <w:r>
              <w:rPr>
                <w:rFonts w:ascii="Arial" w:cs="Arial" w:eastAsia="Arial" w:hAnsi="Arial"/>
                <w:sz w:val="17"/>
                <w:szCs w:val="17"/>
                <w:color w:val="auto"/>
              </w:rPr>
              <w:t>10.24*</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December 8, 2021, between Silvaco, Inc. and Kipee International, Inc., as amended by Amendment to</w:t>
            </w:r>
          </w:p>
        </w:tc>
      </w:tr>
      <w:tr>
        <w:trPr>
          <w:trHeight w:val="225"/>
        </w:trPr>
        <w:tc>
          <w:tcPr>
            <w:tcW w:w="960" w:type="dxa"/>
            <w:vAlign w:val="bottom"/>
          </w:tcPr>
          <w:p>
            <w:pPr>
              <w:spacing w:after="0"/>
              <w:rPr>
                <w:sz w:val="19"/>
                <w:szCs w:val="19"/>
                <w:color w:val="auto"/>
              </w:rPr>
            </w:pP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April 18, 2022, between Silvaco, Inc., Kipee International, Inc. and Katherine S. Ngai-Pesic.</w:t>
            </w:r>
          </w:p>
        </w:tc>
      </w:tr>
      <w:tr>
        <w:trPr>
          <w:trHeight w:val="423"/>
        </w:trPr>
        <w:tc>
          <w:tcPr>
            <w:tcW w:w="960" w:type="dxa"/>
            <w:vAlign w:val="bottom"/>
          </w:tcPr>
          <w:p>
            <w:pPr>
              <w:spacing w:after="0"/>
              <w:rPr>
                <w:sz w:val="20"/>
                <w:szCs w:val="20"/>
                <w:color w:val="auto"/>
              </w:rPr>
            </w:pPr>
            <w:r>
              <w:rPr>
                <w:rFonts w:ascii="Arial" w:cs="Arial" w:eastAsia="Arial" w:hAnsi="Arial"/>
                <w:sz w:val="17"/>
                <w:szCs w:val="17"/>
                <w:color w:val="auto"/>
              </w:rPr>
              <w:t>10.25*</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dated March 30, 2022, between Silvaco, Inc. and Katherine S. Ngai-Pesic.</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10.26*</w:t>
            </w:r>
          </w:p>
        </w:tc>
        <w:tc>
          <w:tcPr>
            <w:tcW w:w="10020" w:type="dxa"/>
            <w:vAlign w:val="bottom"/>
          </w:tcPr>
          <w:p>
            <w:pPr>
              <w:ind w:left="340"/>
              <w:spacing w:after="0"/>
              <w:rPr>
                <w:sz w:val="20"/>
                <w:szCs w:val="20"/>
                <w:color w:val="auto"/>
              </w:rPr>
            </w:pPr>
            <w:r>
              <w:rPr>
                <w:rFonts w:ascii="Arial" w:cs="Arial" w:eastAsia="Arial" w:hAnsi="Arial"/>
                <w:sz w:val="17"/>
                <w:szCs w:val="17"/>
                <w:color w:val="auto"/>
              </w:rPr>
              <w:t>Promissory Note and Line of Credit, dated June 13, 2022, between Silvaco, Inc. and Katherine S. Ngai-Pesic.</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10.27+†</w:t>
            </w:r>
          </w:p>
        </w:tc>
        <w:tc>
          <w:tcPr>
            <w:tcW w:w="10020" w:type="dxa"/>
            <w:vAlign w:val="bottom"/>
          </w:tcPr>
          <w:p>
            <w:pPr>
              <w:ind w:left="340"/>
              <w:spacing w:after="0"/>
              <w:rPr>
                <w:sz w:val="20"/>
                <w:szCs w:val="20"/>
                <w:color w:val="auto"/>
              </w:rPr>
            </w:pPr>
            <w:r>
              <w:rPr>
                <w:rFonts w:ascii="Arial" w:cs="Arial" w:eastAsia="Arial" w:hAnsi="Arial"/>
                <w:sz w:val="17"/>
                <w:szCs w:val="17"/>
                <w:color w:val="auto"/>
              </w:rPr>
              <w:t>Non-Employee Director Compensation Policy of the Board of Directors of the Registrant.</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21.1†</w:t>
            </w:r>
          </w:p>
        </w:tc>
        <w:tc>
          <w:tcPr>
            <w:tcW w:w="10020" w:type="dxa"/>
            <w:vAlign w:val="bottom"/>
          </w:tcPr>
          <w:p>
            <w:pPr>
              <w:ind w:left="340"/>
              <w:spacing w:after="0"/>
              <w:rPr>
                <w:sz w:val="20"/>
                <w:szCs w:val="20"/>
                <w:color w:val="auto"/>
              </w:rPr>
            </w:pPr>
            <w:r>
              <w:rPr>
                <w:rFonts w:ascii="Arial" w:cs="Arial" w:eastAsia="Arial" w:hAnsi="Arial"/>
                <w:sz w:val="17"/>
                <w:szCs w:val="17"/>
                <w:color w:val="auto"/>
              </w:rPr>
              <w:t>Subsidiaries of the Registrant.</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23.1†</w:t>
            </w:r>
          </w:p>
        </w:tc>
        <w:tc>
          <w:tcPr>
            <w:tcW w:w="10020" w:type="dxa"/>
            <w:vAlign w:val="bottom"/>
          </w:tcPr>
          <w:p>
            <w:pPr>
              <w:ind w:left="340"/>
              <w:spacing w:after="0"/>
              <w:rPr>
                <w:sz w:val="20"/>
                <w:szCs w:val="20"/>
                <w:color w:val="auto"/>
              </w:rPr>
            </w:pPr>
            <w:r>
              <w:rPr>
                <w:rFonts w:ascii="Arial" w:cs="Arial" w:eastAsia="Arial" w:hAnsi="Arial"/>
                <w:sz w:val="17"/>
                <w:szCs w:val="17"/>
                <w:color w:val="auto"/>
              </w:rPr>
              <w:t>Consent of Moss Adams LLP.</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23.2†</w:t>
            </w:r>
          </w:p>
        </w:tc>
        <w:tc>
          <w:tcPr>
            <w:tcW w:w="10020" w:type="dxa"/>
            <w:vAlign w:val="bottom"/>
          </w:tcPr>
          <w:p>
            <w:pPr>
              <w:ind w:left="340"/>
              <w:spacing w:after="0"/>
              <w:rPr>
                <w:sz w:val="20"/>
                <w:szCs w:val="20"/>
                <w:color w:val="auto"/>
              </w:rPr>
            </w:pPr>
            <w:r>
              <w:rPr>
                <w:rFonts w:ascii="Arial" w:cs="Arial" w:eastAsia="Arial" w:hAnsi="Arial"/>
                <w:sz w:val="17"/>
                <w:szCs w:val="17"/>
                <w:color w:val="auto"/>
              </w:rPr>
              <w:t>Consent of DLA Piper LLP (US) (included in Exhibit 5.1).</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24.1†</w:t>
            </w:r>
          </w:p>
        </w:tc>
        <w:tc>
          <w:tcPr>
            <w:tcW w:w="10020" w:type="dxa"/>
            <w:vAlign w:val="bottom"/>
          </w:tcPr>
          <w:p>
            <w:pPr>
              <w:ind w:left="340"/>
              <w:spacing w:after="0"/>
              <w:rPr>
                <w:sz w:val="20"/>
                <w:szCs w:val="20"/>
                <w:color w:val="auto"/>
              </w:rPr>
            </w:pPr>
            <w:r>
              <w:rPr>
                <w:rFonts w:ascii="Arial" w:cs="Arial" w:eastAsia="Arial" w:hAnsi="Arial"/>
                <w:sz w:val="17"/>
                <w:szCs w:val="17"/>
                <w:color w:val="auto"/>
              </w:rPr>
              <w:t>Power of Attorney (see signature page hereto).</w:t>
            </w:r>
          </w:p>
        </w:tc>
      </w:tr>
      <w:tr>
        <w:trPr>
          <w:trHeight w:val="432"/>
        </w:trPr>
        <w:tc>
          <w:tcPr>
            <w:tcW w:w="960" w:type="dxa"/>
            <w:vAlign w:val="bottom"/>
          </w:tcPr>
          <w:p>
            <w:pPr>
              <w:spacing w:after="0"/>
              <w:rPr>
                <w:sz w:val="20"/>
                <w:szCs w:val="20"/>
                <w:color w:val="auto"/>
              </w:rPr>
            </w:pPr>
            <w:r>
              <w:rPr>
                <w:rFonts w:ascii="Arial" w:cs="Arial" w:eastAsia="Arial" w:hAnsi="Arial"/>
                <w:sz w:val="17"/>
                <w:szCs w:val="17"/>
                <w:color w:val="auto"/>
              </w:rPr>
              <w:t>107†</w:t>
            </w:r>
          </w:p>
        </w:tc>
        <w:tc>
          <w:tcPr>
            <w:tcW w:w="10020" w:type="dxa"/>
            <w:vAlign w:val="bottom"/>
          </w:tcPr>
          <w:p>
            <w:pPr>
              <w:ind w:left="340"/>
              <w:spacing w:after="0"/>
              <w:rPr>
                <w:sz w:val="20"/>
                <w:szCs w:val="20"/>
                <w:color w:val="auto"/>
              </w:rPr>
            </w:pPr>
            <w:r>
              <w:rPr>
                <w:rFonts w:ascii="Arial" w:cs="Arial" w:eastAsia="Arial" w:hAnsi="Arial"/>
                <w:sz w:val="17"/>
                <w:szCs w:val="17"/>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43180</wp:posOffset>
            </wp:positionV>
            <wp:extent cx="7106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33" w:lineRule="exact"/>
        <w:rPr>
          <w:sz w:val="20"/>
          <w:szCs w:val="20"/>
          <w:color w:val="auto"/>
        </w:rPr>
      </w:pPr>
    </w:p>
    <w:p>
      <w:pPr>
        <w:ind w:left="240" w:hanging="232"/>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9" w:lineRule="exact"/>
        <w:rPr>
          <w:sz w:val="20"/>
          <w:szCs w:val="20"/>
          <w:color w:val="auto"/>
        </w:rPr>
      </w:pPr>
    </w:p>
    <w:p>
      <w:pPr>
        <w:ind w:right="7520" w:firstLine="8"/>
        <w:spacing w:after="0" w:line="261" w:lineRule="auto"/>
        <w:tabs>
          <w:tab w:leader="none" w:pos="244"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 Previously filed.</w:t>
      </w:r>
    </w:p>
    <w:p>
      <w:pPr>
        <w:ind w:left="340" w:hanging="324"/>
        <w:spacing w:after="0" w:line="284" w:lineRule="auto"/>
        <w:rPr>
          <w:rFonts w:ascii="Arial" w:cs="Arial" w:eastAsia="Arial" w:hAnsi="Arial"/>
          <w:sz w:val="14"/>
          <w:szCs w:val="14"/>
          <w:color w:val="auto"/>
        </w:rPr>
      </w:pPr>
      <w:r>
        <w:rPr>
          <w:rFonts w:ascii="Arial" w:cs="Arial" w:eastAsia="Arial" w:hAnsi="Arial"/>
          <w:sz w:val="14"/>
          <w:szCs w:val="14"/>
          <w:color w:val="auto"/>
        </w:rPr>
        <w:t># Certain confidential information – identified by a bracketed asterisk “[*]” – has been omitted from this exhibit pursuant to Item 601(b)(10) of Regulation S-K. The Registrant agrees to furnish supplementally a copy of an unredacted copy to the SEC upon request.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240"/>
          </w:cols>
          <w:pgMar w:left="320" w:top="118" w:right="33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w:t>
      </w:r>
    </w:p>
    <w:p>
      <w:pPr>
        <w:spacing w:after="0" w:line="23" w:lineRule="exact"/>
        <w:rPr>
          <w:sz w:val="20"/>
          <w:szCs w:val="20"/>
          <w:color w:val="auto"/>
        </w:rPr>
      </w:pPr>
    </w:p>
    <w:p>
      <w:pPr>
        <w:spacing w:after="0"/>
        <w:tabs>
          <w:tab w:leader="none" w:pos="8880" w:val="left"/>
        </w:tabs>
        <w:rPr>
          <w:sz w:val="20"/>
          <w:szCs w:val="20"/>
          <w:color w:val="auto"/>
        </w:rPr>
      </w:pPr>
      <w:r>
        <w:rPr>
          <w:rFonts w:ascii="Arial" w:cs="Arial" w:eastAsia="Arial" w:hAnsi="Arial"/>
          <w:sz w:val="17"/>
          <w:szCs w:val="17"/>
          <w:color w:val="auto"/>
        </w:rPr>
        <w:t>its behalf by the undersigned, thereunto duly authorized, in the City of Santa Clara, State of California, on</w:t>
      </w:r>
      <w:r>
        <w:rPr>
          <w:sz w:val="20"/>
          <w:szCs w:val="20"/>
          <w:color w:val="auto"/>
        </w:rPr>
        <w:tab/>
      </w:r>
      <w:r>
        <w:rPr>
          <w:rFonts w:ascii="Arial" w:cs="Arial" w:eastAsia="Arial" w:hAnsi="Arial"/>
          <w:sz w:val="14"/>
          <w:szCs w:val="14"/>
          <w:color w:val="auto"/>
        </w:rPr>
        <w:t>.</w:t>
      </w:r>
    </w:p>
    <w:p>
      <w:pPr>
        <w:spacing w:after="0" w:line="207"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SILVACO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370205</wp:posOffset>
            </wp:positionV>
            <wp:extent cx="21170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Dr. Babak A. Taheri</w:t>
      </w:r>
    </w:p>
    <w:p>
      <w:pPr>
        <w:ind w:left="7920"/>
        <w:spacing w:after="0"/>
        <w:rPr>
          <w:sz w:val="20"/>
          <w:szCs w:val="20"/>
          <w:color w:val="auto"/>
        </w:rPr>
      </w:pPr>
      <w:r>
        <w:rPr>
          <w:rFonts w:ascii="Arial" w:cs="Arial" w:eastAsia="Arial" w:hAnsi="Arial"/>
          <w:sz w:val="17"/>
          <w:szCs w:val="17"/>
          <w:color w:val="auto"/>
        </w:rPr>
        <w:t>Chief Executive Officer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Dr. Babak A. Taheri and Robert J. McMullan,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7"/>
                <w:szCs w:val="17"/>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5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39"/>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Chief Executive Officer and Director</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auto"/>
            </w:tcBorders>
          </w:tcPr>
          <w:p>
            <w:pPr>
              <w:spacing w:after="0"/>
              <w:rPr>
                <w:sz w:val="9"/>
                <w:szCs w:val="9"/>
                <w:color w:val="auto"/>
              </w:rPr>
            </w:pPr>
          </w:p>
        </w:tc>
        <w:tc>
          <w:tcPr>
            <w:tcW w:w="80" w:type="dxa"/>
            <w:vAlign w:val="bottom"/>
            <w:vMerge w:val="restart"/>
          </w:tcPr>
          <w:p>
            <w:pPr>
              <w:spacing w:after="0"/>
              <w:rPr>
                <w:sz w:val="9"/>
                <w:szCs w:val="9"/>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7"/>
                <w:szCs w:val="17"/>
                <w:i w:val="1"/>
                <w:iCs w:val="1"/>
                <w:color w:val="auto"/>
              </w:rPr>
              <w:t>(Principal Executive Officer)</w:t>
            </w: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9"/>
              </w:rPr>
              <w:t>Dr. Babak A. Taheri</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7"/>
                <w:szCs w:val="17"/>
                <w:color w:val="auto"/>
              </w:rPr>
              <w:t>Chief Financial Officer</w:t>
            </w:r>
          </w:p>
        </w:tc>
        <w:tc>
          <w:tcPr>
            <w:tcW w:w="2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i w:val="1"/>
                <w:iCs w:val="1"/>
                <w:color w:val="auto"/>
              </w:rPr>
              <w:t>(Principal Financial and Accounting Officer)</w:t>
            </w: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000" w:type="dxa"/>
            <w:vAlign w:val="bottom"/>
          </w:tcPr>
          <w:p>
            <w:pPr>
              <w:jc w:val="center"/>
              <w:spacing w:after="0"/>
              <w:rPr>
                <w:sz w:val="20"/>
                <w:szCs w:val="20"/>
                <w:color w:val="auto"/>
              </w:rPr>
            </w:pPr>
            <w:r>
              <w:rPr>
                <w:rFonts w:ascii="Arial" w:cs="Arial" w:eastAsia="Arial" w:hAnsi="Arial"/>
                <w:sz w:val="17"/>
                <w:szCs w:val="17"/>
                <w:color w:val="auto"/>
              </w:rPr>
              <w:t>Robert J. McMullan</w:t>
            </w:r>
          </w:p>
        </w:tc>
        <w:tc>
          <w:tcPr>
            <w:tcW w:w="80" w:type="dxa"/>
            <w:vAlign w:val="bottom"/>
            <w:vMerge w:val="continue"/>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spacing w:after="0"/>
              <w:rPr>
                <w:sz w:val="23"/>
                <w:szCs w:val="23"/>
                <w:color w:val="auto"/>
              </w:rPr>
            </w:pPr>
          </w:p>
        </w:tc>
        <w:tc>
          <w:tcPr>
            <w:tcW w:w="80" w:type="dxa"/>
            <w:vAlign w:val="bottom"/>
            <w:vMerge w:val="restart"/>
          </w:tcPr>
          <w:p>
            <w:pPr>
              <w:spacing w:after="0"/>
              <w:rPr>
                <w:sz w:val="23"/>
                <w:szCs w:val="23"/>
                <w:color w:val="auto"/>
              </w:rPr>
            </w:pPr>
          </w:p>
        </w:tc>
        <w:tc>
          <w:tcPr>
            <w:tcW w:w="462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9"/>
              </w:rPr>
              <w:t>Chair of the Board</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9"/>
              </w:rPr>
              <w:t>Katherine S. Ngai-Pesic</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4000" w:type="dxa"/>
            <w:vAlign w:val="bottom"/>
            <w:tcBorders>
              <w:bottom w:val="single" w:sz="8" w:color="auto"/>
            </w:tcBorders>
          </w:tcPr>
          <w:p>
            <w:pPr>
              <w:spacing w:after="0"/>
              <w:rPr>
                <w:sz w:val="24"/>
                <w:szCs w:val="24"/>
                <w:color w:val="auto"/>
              </w:rPr>
            </w:pPr>
          </w:p>
        </w:tc>
        <w:tc>
          <w:tcPr>
            <w:tcW w:w="80" w:type="dxa"/>
            <w:vAlign w:val="bottom"/>
            <w:vMerge w:val="restart"/>
          </w:tcPr>
          <w:p>
            <w:pPr>
              <w:spacing w:after="0"/>
              <w:rPr>
                <w:sz w:val="24"/>
                <w:szCs w:val="24"/>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Director</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rPr>
              <w:t>Dr. Hau L. Lee</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spacing w:after="0"/>
              <w:rPr>
                <w:sz w:val="23"/>
                <w:szCs w:val="23"/>
                <w:color w:val="auto"/>
              </w:rPr>
            </w:pPr>
          </w:p>
        </w:tc>
        <w:tc>
          <w:tcPr>
            <w:tcW w:w="80" w:type="dxa"/>
            <w:vAlign w:val="bottom"/>
            <w:vMerge w:val="restart"/>
          </w:tcPr>
          <w:p>
            <w:pPr>
              <w:spacing w:after="0"/>
              <w:rPr>
                <w:sz w:val="23"/>
                <w:szCs w:val="23"/>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Director</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rPr>
              <w:t>William H. Molloie, Jr.</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spacing w:after="0"/>
              <w:rPr>
                <w:sz w:val="23"/>
                <w:szCs w:val="23"/>
                <w:color w:val="auto"/>
              </w:rPr>
            </w:pPr>
          </w:p>
        </w:tc>
        <w:tc>
          <w:tcPr>
            <w:tcW w:w="80" w:type="dxa"/>
            <w:vAlign w:val="bottom"/>
            <w:vMerge w:val="restart"/>
          </w:tcPr>
          <w:p>
            <w:pPr>
              <w:spacing w:after="0"/>
              <w:rPr>
                <w:sz w:val="23"/>
                <w:szCs w:val="23"/>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Director</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rPr>
              <w:t>Anthony K. K. Ngai</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spacing w:after="0"/>
              <w:rPr>
                <w:sz w:val="23"/>
                <w:szCs w:val="23"/>
                <w:color w:val="auto"/>
              </w:rPr>
            </w:pPr>
          </w:p>
        </w:tc>
        <w:tc>
          <w:tcPr>
            <w:tcW w:w="80" w:type="dxa"/>
            <w:vAlign w:val="bottom"/>
            <w:vMerge w:val="restart"/>
          </w:tcPr>
          <w:p>
            <w:pPr>
              <w:spacing w:after="0"/>
              <w:rPr>
                <w:sz w:val="23"/>
                <w:szCs w:val="23"/>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Director</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rPr>
              <w:t>Iliya I. Pesic</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spacing w:after="0"/>
              <w:rPr>
                <w:sz w:val="23"/>
                <w:szCs w:val="23"/>
                <w:color w:val="auto"/>
              </w:rPr>
            </w:pPr>
          </w:p>
        </w:tc>
        <w:tc>
          <w:tcPr>
            <w:tcW w:w="80" w:type="dxa"/>
            <w:vAlign w:val="bottom"/>
            <w:vMerge w:val="restart"/>
          </w:tcPr>
          <w:p>
            <w:pPr>
              <w:spacing w:after="0"/>
              <w:rPr>
                <w:sz w:val="23"/>
                <w:szCs w:val="23"/>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Director</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9"/>
              </w:rPr>
              <w:t>Dr. Walden C. Rhines</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spacing w:after="0"/>
              <w:rPr>
                <w:sz w:val="23"/>
                <w:szCs w:val="23"/>
                <w:color w:val="auto"/>
              </w:rPr>
            </w:pPr>
          </w:p>
        </w:tc>
        <w:tc>
          <w:tcPr>
            <w:tcW w:w="80" w:type="dxa"/>
            <w:vAlign w:val="bottom"/>
            <w:vMerge w:val="restart"/>
          </w:tcPr>
          <w:p>
            <w:pPr>
              <w:spacing w:after="0"/>
              <w:rPr>
                <w:sz w:val="23"/>
                <w:szCs w:val="23"/>
                <w:color w:val="auto"/>
              </w:rPr>
            </w:pPr>
          </w:p>
        </w:tc>
        <w:tc>
          <w:tcPr>
            <w:tcW w:w="462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Director</w:t>
            </w: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9"/>
              </w:rPr>
              <w:t>Jodi L. Shelton</w:t>
            </w:r>
          </w:p>
        </w:tc>
        <w:tc>
          <w:tcPr>
            <w:tcW w:w="80" w:type="dxa"/>
            <w:vAlign w:val="bottom"/>
            <w:vMerge w:val="continue"/>
          </w:tcPr>
          <w:p>
            <w:pPr>
              <w:spacing w:after="0"/>
              <w:rPr>
                <w:sz w:val="7"/>
                <w:szCs w:val="7"/>
                <w:color w:val="auto"/>
              </w:rPr>
            </w:pPr>
          </w:p>
        </w:tc>
        <w:tc>
          <w:tcPr>
            <w:tcW w:w="462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1"/>
    </w:lvl>
    <w:lvl w:ilvl="1">
      <w:lvlJc w:val="left"/>
      <w:lvlText w:val="&amp;"/>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decimal"/>
      <w:start w:val="2"/>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lowerRoman"/>
      <w:start w:val="2"/>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3"/>
    </w:lvl>
  </w:abstractNum>
  <w:abstractNum w:abstractNumId="61">
    <w:nsid w:val="3B0FD379"/>
    <w:multiLevelType w:val="hybridMultilevel"/>
    <w:lvl w:ilvl="0">
      <w:lvlJc w:val="left"/>
      <w:lvlText w:val="(%1)"/>
      <w:numFmt w:val="lowerLetter"/>
      <w:start w:val="5"/>
    </w:lvl>
  </w:abstractNum>
  <w:abstractNum w:abstractNumId="62">
    <w:nsid w:val="68EB2F63"/>
    <w:multiLevelType w:val="hybridMultilevel"/>
    <w:lvl w:ilvl="0">
      <w:lvlJc w:val="left"/>
      <w:lvlText w:val="(%1)"/>
      <w:numFmt w:val="lowerLetter"/>
      <w:start w:val="23"/>
    </w:lvl>
  </w:abstractNum>
  <w:abstractNum w:abstractNumId="63">
    <w:nsid w:val="4962813B"/>
    <w:multiLevelType w:val="hybridMultilevel"/>
    <w:lvl w:ilvl="0">
      <w:lvlJc w:val="left"/>
      <w:lvlText w:val="(%1)"/>
      <w:numFmt w:val="lowerRoman"/>
      <w:start w:val="1"/>
    </w:lvl>
  </w:abstractNum>
  <w:abstractNum w:abstractNumId="64">
    <w:nsid w:val="60B6DF70"/>
    <w:multiLevelType w:val="hybridMultilevel"/>
    <w:lvl w:ilvl="0">
      <w:lvlJc w:val="left"/>
      <w:lvlText w:val="(%1)"/>
      <w:numFmt w:val="lowerRoman"/>
      <w:start w:val="2"/>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upperLetter"/>
      <w:start w:val="2"/>
    </w:lvl>
    <w:lvl w:ilvl="1">
      <w:lvlJc w:val="left"/>
      <w:lvlText w:val="■"/>
      <w:numFmt w:val="bullet"/>
      <w:start w:val="1"/>
    </w:lvl>
  </w:abstractNum>
  <w:abstractNum w:abstractNumId="78">
    <w:nsid w:val="1716703B"/>
    <w:multiLevelType w:val="hybridMultilevel"/>
    <w:lvl w:ilvl="0">
      <w:lvlJc w:val="left"/>
      <w:lvlText w:val="%1)"/>
      <w:numFmt w:val="lowerLetter"/>
      <w:start w:val="1"/>
    </w:lvl>
    <w:lvl w:ilvl="1">
      <w:lvlJc w:val="left"/>
      <w:lvlText w:val="%2."/>
      <w:numFmt w:val="lowerRoman"/>
      <w:start w:val="1"/>
    </w:lvl>
  </w:abstractNum>
  <w:abstractNum w:abstractNumId="79">
    <w:nsid w:val="14E17E33"/>
    <w:multiLevelType w:val="hybridMultilevel"/>
    <w:lvl w:ilvl="0">
      <w:lvlJc w:val="left"/>
      <w:lvlText w:val="%1)"/>
      <w:numFmt w:val="lowerLetter"/>
      <w:start w:val="2"/>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lowerLetter"/>
      <w:start w:val="1"/>
    </w:lvl>
    <w:lvl w:ilvl="1">
      <w:lvlJc w:val="left"/>
      <w:lvlText w:val="%2."/>
      <w:numFmt w:val="lowerRoman"/>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1."/>
      <w:numFmt w:val="decimal"/>
      <w:start w:val="9"/>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Roman"/>
      <w:start w:val="3"/>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decimal"/>
      <w:start w:val="5"/>
    </w:lvl>
  </w:abstractNum>
  <w:abstractNum w:abstractNumId="90">
    <w:nsid w:val="60EF0119"/>
    <w:multiLevelType w:val="hybridMultilevel"/>
    <w:lvl w:ilvl="0">
      <w:lvlJc w:val="left"/>
      <w:lvlText w:val="(%1)"/>
      <w:numFmt w:val="lowerRoman"/>
      <w:start w:val="3"/>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2024-04-15T00:26:41Z</dcterms:created>
  <dcterms:modified xsi:type="dcterms:W3CDTF">2024-04-15T00:26:41Z</dcterms:modified>
</cp:coreProperties>
</file>